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341D8B" w:rsidP="00387EB4">
      <w:pPr>
        <w:jc w:val="center"/>
        <w:rPr>
          <w:b/>
          <w:bCs/>
        </w:rPr>
      </w:pPr>
      <w:r>
        <w:rPr>
          <w:b/>
          <w:bCs/>
        </w:rPr>
        <w:t>OPD/IMMT/SC/051</w:t>
      </w:r>
      <w:r w:rsidR="0044148F">
        <w:rPr>
          <w:b/>
          <w:bCs/>
        </w:rPr>
        <w:t xml:space="preserve">/2022 MUEBLES DE OFICINA </w:t>
      </w:r>
      <w:r w:rsidR="00AD1BD9">
        <w:rPr>
          <w:b/>
          <w:bCs/>
        </w:rPr>
        <w:t xml:space="preserve">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341D8B" w:rsidP="005C6BBF">
      <w:pPr>
        <w:jc w:val="center"/>
        <w:rPr>
          <w:b/>
          <w:bCs/>
        </w:rPr>
      </w:pPr>
      <w:r>
        <w:rPr>
          <w:b/>
          <w:bCs/>
        </w:rPr>
        <w:t>Solicitudes: 0051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2022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44148F">
              <w:rPr>
                <w:rFonts w:cstheme="minorHAnsi"/>
                <w:b/>
                <w:lang w:val="es-ES_tradnl" w:eastAsia="es-ES"/>
              </w:rPr>
              <w:t>rá adjudicar a varios licitantes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Pr="00E046AF" w:rsidRDefault="0044148F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5511</w:t>
            </w:r>
            <w:r w:rsidR="00C50C46">
              <w:rPr>
                <w:rFonts w:cstheme="minorHAnsi"/>
                <w:b/>
                <w:lang w:val="es-ES_tradnl" w:eastAsia="es-ES"/>
              </w:rPr>
              <w:t xml:space="preserve"> Y 5641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341D8B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  <w:r w:rsidR="00265EFD">
              <w:rPr>
                <w:rFonts w:cstheme="minorHAnsi"/>
                <w:b/>
              </w:rPr>
              <w:t>/09</w:t>
            </w:r>
            <w:r w:rsidR="00AD1BD9">
              <w:rPr>
                <w:rFonts w:cstheme="minorHAnsi"/>
                <w:b/>
              </w:rPr>
              <w:t>/2022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341D8B" w:rsidRPr="00E046AF" w:rsidTr="00CB68DC">
        <w:tc>
          <w:tcPr>
            <w:tcW w:w="4538" w:type="dxa"/>
          </w:tcPr>
          <w:p w:rsidR="00341D8B" w:rsidRPr="00E046AF" w:rsidRDefault="00341D8B" w:rsidP="005C6BB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Segunda Vuelta</w:t>
            </w:r>
          </w:p>
        </w:tc>
        <w:tc>
          <w:tcPr>
            <w:tcW w:w="4290" w:type="dxa"/>
          </w:tcPr>
          <w:p w:rsidR="00341D8B" w:rsidRPr="00E046AF" w:rsidRDefault="00341D8B" w:rsidP="00F573E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Esta es la segunda ocasión que se licitan los bienes o servicios contenidos en la presente Convocatoria y Base, de conformidad con lo establecido en el artículo 72 fracción VI, VII y VIII de la Ley de Compras Gubernamentales, Enajenaciones y Contratación de Servicios para el Estado de Jalisco y sus Municipios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341D8B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04/10</w:t>
            </w:r>
            <w:r w:rsidR="00E046AF" w:rsidRPr="00A54BB3">
              <w:rPr>
                <w:rFonts w:cstheme="minorHAnsi"/>
                <w:b/>
              </w:rPr>
              <w:t>/2022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lastRenderedPageBreak/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341D8B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04/10</w:t>
            </w:r>
            <w:r w:rsidR="00E046AF" w:rsidRPr="00A54BB3">
              <w:rPr>
                <w:rFonts w:cstheme="minorHAnsi"/>
                <w:b/>
              </w:rPr>
              <w:t>/2022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6E068F" w:rsidRDefault="006E068F" w:rsidP="005C6BBF">
      <w:pPr>
        <w:jc w:val="both"/>
      </w:pP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t>BASES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2"/>
        <w:gridCol w:w="2371"/>
        <w:gridCol w:w="1922"/>
        <w:gridCol w:w="2333"/>
      </w:tblGrid>
      <w:tr w:rsidR="00F573ED" w:rsidTr="00900CDD">
        <w:tc>
          <w:tcPr>
            <w:tcW w:w="2202" w:type="dxa"/>
          </w:tcPr>
          <w:p w:rsidR="00F573ED" w:rsidRDefault="00F573ED" w:rsidP="00F573ED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2371" w:type="dxa"/>
          </w:tcPr>
          <w:p w:rsidR="00F573ED" w:rsidRDefault="00F573ED" w:rsidP="00F573ED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922" w:type="dxa"/>
          </w:tcPr>
          <w:p w:rsidR="00F573ED" w:rsidRPr="0042344F" w:rsidRDefault="00F573ED" w:rsidP="00F573ED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2333" w:type="dxa"/>
          </w:tcPr>
          <w:p w:rsidR="00F573ED" w:rsidRDefault="00F573ED" w:rsidP="00F573ED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44148F" w:rsidTr="00900CDD">
        <w:tc>
          <w:tcPr>
            <w:tcW w:w="2202" w:type="dxa"/>
          </w:tcPr>
          <w:p w:rsidR="0044148F" w:rsidRPr="0042344F" w:rsidRDefault="0044148F" w:rsidP="00F57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71" w:type="dxa"/>
          </w:tcPr>
          <w:p w:rsidR="0044148F" w:rsidRPr="0042344F" w:rsidRDefault="0044148F" w:rsidP="00F57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Archivero con tres cajones, </w:t>
            </w:r>
            <w:r w:rsidR="001913DA">
              <w:rPr>
                <w:b/>
                <w:bCs/>
              </w:rPr>
              <w:t>90 x 46 cm, color gris con blanco</w:t>
            </w:r>
            <w:r w:rsidR="0074505A">
              <w:rPr>
                <w:b/>
                <w:bCs/>
              </w:rPr>
              <w:t>, aglomerado</w:t>
            </w:r>
            <w:r w:rsidR="001913DA">
              <w:rPr>
                <w:b/>
                <w:bCs/>
              </w:rPr>
              <w:t xml:space="preserve"> </w:t>
            </w:r>
            <w:r w:rsidR="00507FFB">
              <w:rPr>
                <w:b/>
                <w:bCs/>
              </w:rPr>
              <w:t xml:space="preserve"> con melanina </w:t>
            </w:r>
          </w:p>
        </w:tc>
        <w:tc>
          <w:tcPr>
            <w:tcW w:w="1922" w:type="dxa"/>
          </w:tcPr>
          <w:p w:rsidR="0044148F" w:rsidRPr="0042344F" w:rsidRDefault="001913DA" w:rsidP="00F57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33" w:type="dxa"/>
          </w:tcPr>
          <w:p w:rsidR="0044148F" w:rsidRPr="0042344F" w:rsidRDefault="001913DA" w:rsidP="00F573E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pza</w:t>
            </w:r>
            <w:proofErr w:type="spellEnd"/>
          </w:p>
        </w:tc>
      </w:tr>
      <w:tr w:rsidR="00C50C46" w:rsidTr="00900CDD">
        <w:tc>
          <w:tcPr>
            <w:tcW w:w="2202" w:type="dxa"/>
          </w:tcPr>
          <w:p w:rsidR="00C50C46" w:rsidRPr="0042344F" w:rsidRDefault="00C50C46" w:rsidP="00C50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71" w:type="dxa"/>
          </w:tcPr>
          <w:p w:rsidR="00C50C46" w:rsidRPr="0042344F" w:rsidRDefault="00C50C46" w:rsidP="00C50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Ventilador de pared, 16”, tres velocidades, oscilante, </w:t>
            </w:r>
          </w:p>
        </w:tc>
        <w:tc>
          <w:tcPr>
            <w:tcW w:w="1922" w:type="dxa"/>
          </w:tcPr>
          <w:p w:rsidR="00C50C46" w:rsidRPr="0042344F" w:rsidRDefault="00C50C46" w:rsidP="00C50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333" w:type="dxa"/>
          </w:tcPr>
          <w:p w:rsidR="00C50C46" w:rsidRPr="0042344F" w:rsidRDefault="00C50C46" w:rsidP="00C50C4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pza</w:t>
            </w:r>
            <w:proofErr w:type="spellEnd"/>
          </w:p>
        </w:tc>
      </w:tr>
      <w:tr w:rsidR="00C50C46" w:rsidTr="00900CDD">
        <w:tc>
          <w:tcPr>
            <w:tcW w:w="2202" w:type="dxa"/>
          </w:tcPr>
          <w:p w:rsidR="00C50C46" w:rsidRDefault="00C50C46" w:rsidP="00C50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371" w:type="dxa"/>
          </w:tcPr>
          <w:p w:rsidR="00C50C46" w:rsidRDefault="00C50C46" w:rsidP="00C50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Escritorio con dos cajoneras, color gris con blanco, medidas 1.20 x 60 cm, aglomerado con melanina </w:t>
            </w:r>
          </w:p>
        </w:tc>
        <w:tc>
          <w:tcPr>
            <w:tcW w:w="1922" w:type="dxa"/>
          </w:tcPr>
          <w:p w:rsidR="00C50C46" w:rsidRDefault="00C50C46" w:rsidP="00C50C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33" w:type="dxa"/>
          </w:tcPr>
          <w:p w:rsidR="00C50C46" w:rsidRDefault="00C50C46" w:rsidP="00C50C4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Pza</w:t>
            </w:r>
            <w:proofErr w:type="spellEnd"/>
          </w:p>
        </w:tc>
      </w:tr>
      <w:tr w:rsidR="00C50C46" w:rsidTr="003072D8">
        <w:tc>
          <w:tcPr>
            <w:tcW w:w="8828" w:type="dxa"/>
            <w:gridSpan w:val="4"/>
          </w:tcPr>
          <w:p w:rsidR="00C50C46" w:rsidRDefault="00C50C46" w:rsidP="00C50C46">
            <w:pPr>
              <w:jc w:val="center"/>
              <w:rPr>
                <w:b/>
                <w:bCs/>
              </w:rPr>
            </w:pPr>
          </w:p>
        </w:tc>
      </w:tr>
    </w:tbl>
    <w:p w:rsidR="00F573ED" w:rsidRPr="005C6BBF" w:rsidRDefault="00F573ED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 xml:space="preserve">. La cotización deberá estar elaborada de preferencia en papel membretado de la empresa, con nombre </w:t>
      </w:r>
      <w:r>
        <w:lastRenderedPageBreak/>
        <w:t>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F32677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bookmarkStart w:id="0" w:name="_GoBack"/>
      <w:bookmarkEnd w:id="0"/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a nombre del licitante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lastRenderedPageBreak/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387EB4" w:rsidRDefault="00387EB4" w:rsidP="00387EB4">
      <w:pPr>
        <w:spacing w:after="0" w:line="240" w:lineRule="auto"/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E5B" w:rsidRDefault="00934E5B" w:rsidP="00913699">
      <w:pPr>
        <w:spacing w:after="0" w:line="240" w:lineRule="auto"/>
      </w:pPr>
      <w:r>
        <w:separator/>
      </w:r>
    </w:p>
  </w:endnote>
  <w:endnote w:type="continuationSeparator" w:id="0">
    <w:p w:rsidR="00934E5B" w:rsidRDefault="00934E5B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E5B" w:rsidRDefault="00934E5B" w:rsidP="00913699">
      <w:pPr>
        <w:spacing w:after="0" w:line="240" w:lineRule="auto"/>
      </w:pPr>
      <w:r>
        <w:separator/>
      </w:r>
    </w:p>
  </w:footnote>
  <w:footnote w:type="continuationSeparator" w:id="0">
    <w:p w:rsidR="00934E5B" w:rsidRDefault="00934E5B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699" w:rsidRDefault="00913699">
    <w:pPr>
      <w:pStyle w:val="Encabezado"/>
    </w:pPr>
  </w:p>
  <w:p w:rsidR="00A06F18" w:rsidRDefault="00A06F18">
    <w:pPr>
      <w:pStyle w:val="Encabezado"/>
    </w:pPr>
  </w:p>
  <w:p w:rsidR="00A06F18" w:rsidRDefault="00A06F18">
    <w:pPr>
      <w:pStyle w:val="Encabezado"/>
    </w:pPr>
  </w:p>
  <w:p w:rsidR="00A06F18" w:rsidRDefault="00A06F18">
    <w:pPr>
      <w:pStyle w:val="Encabezado"/>
    </w:pPr>
  </w:p>
  <w:p w:rsidR="00913699" w:rsidRDefault="00913699">
    <w:pPr>
      <w:pStyle w:val="Encabezado"/>
    </w:pPr>
  </w:p>
  <w:p w:rsidR="00913699" w:rsidRDefault="00913699">
    <w:pPr>
      <w:pStyle w:val="Encabezado"/>
    </w:pPr>
  </w:p>
  <w:p w:rsidR="00913699" w:rsidRDefault="0091369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101DC8"/>
    <w:rsid w:val="00114A18"/>
    <w:rsid w:val="001177B6"/>
    <w:rsid w:val="001327F7"/>
    <w:rsid w:val="001913DA"/>
    <w:rsid w:val="001F17B1"/>
    <w:rsid w:val="001F66C1"/>
    <w:rsid w:val="00265EFD"/>
    <w:rsid w:val="002929A2"/>
    <w:rsid w:val="002C6BB5"/>
    <w:rsid w:val="002E352F"/>
    <w:rsid w:val="002F52EB"/>
    <w:rsid w:val="0030742B"/>
    <w:rsid w:val="00312C94"/>
    <w:rsid w:val="00320ABD"/>
    <w:rsid w:val="00341D8B"/>
    <w:rsid w:val="00387EB4"/>
    <w:rsid w:val="003A4474"/>
    <w:rsid w:val="003C22A3"/>
    <w:rsid w:val="003D5629"/>
    <w:rsid w:val="0044148F"/>
    <w:rsid w:val="004628A0"/>
    <w:rsid w:val="004F1F26"/>
    <w:rsid w:val="00507FFB"/>
    <w:rsid w:val="00530648"/>
    <w:rsid w:val="005325AA"/>
    <w:rsid w:val="00537D36"/>
    <w:rsid w:val="00545C5F"/>
    <w:rsid w:val="005C6BBF"/>
    <w:rsid w:val="00615982"/>
    <w:rsid w:val="006254D8"/>
    <w:rsid w:val="00632138"/>
    <w:rsid w:val="00687874"/>
    <w:rsid w:val="006E068F"/>
    <w:rsid w:val="00740C94"/>
    <w:rsid w:val="0074505A"/>
    <w:rsid w:val="00747CF6"/>
    <w:rsid w:val="007840B2"/>
    <w:rsid w:val="007A3961"/>
    <w:rsid w:val="007D6A9F"/>
    <w:rsid w:val="007E149C"/>
    <w:rsid w:val="007F2294"/>
    <w:rsid w:val="008301CE"/>
    <w:rsid w:val="008E24E3"/>
    <w:rsid w:val="008E3094"/>
    <w:rsid w:val="00900CDD"/>
    <w:rsid w:val="00913699"/>
    <w:rsid w:val="009237E6"/>
    <w:rsid w:val="00934E5B"/>
    <w:rsid w:val="00A06F18"/>
    <w:rsid w:val="00A3336F"/>
    <w:rsid w:val="00A5218B"/>
    <w:rsid w:val="00A54BB3"/>
    <w:rsid w:val="00AD1BD9"/>
    <w:rsid w:val="00B917CE"/>
    <w:rsid w:val="00BD1233"/>
    <w:rsid w:val="00C50C46"/>
    <w:rsid w:val="00C51784"/>
    <w:rsid w:val="00C61693"/>
    <w:rsid w:val="00C876D0"/>
    <w:rsid w:val="00CB68DC"/>
    <w:rsid w:val="00DA6EBC"/>
    <w:rsid w:val="00DC6E3D"/>
    <w:rsid w:val="00DD2932"/>
    <w:rsid w:val="00DF1819"/>
    <w:rsid w:val="00E046AF"/>
    <w:rsid w:val="00E60C05"/>
    <w:rsid w:val="00E62355"/>
    <w:rsid w:val="00E6654E"/>
    <w:rsid w:val="00E77675"/>
    <w:rsid w:val="00E94248"/>
    <w:rsid w:val="00EF7FD9"/>
    <w:rsid w:val="00F23C20"/>
    <w:rsid w:val="00F32677"/>
    <w:rsid w:val="00F573ED"/>
    <w:rsid w:val="00F80103"/>
    <w:rsid w:val="00F867CC"/>
    <w:rsid w:val="00F8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F1129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1180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4</cp:revision>
  <cp:lastPrinted>2022-09-30T18:04:00Z</cp:lastPrinted>
  <dcterms:created xsi:type="dcterms:W3CDTF">2022-09-30T16:53:00Z</dcterms:created>
  <dcterms:modified xsi:type="dcterms:W3CDTF">2022-09-30T18:05:00Z</dcterms:modified>
</cp:coreProperties>
</file>