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C40C55" w:rsidRDefault="00C40C55" w:rsidP="00387EB4">
      <w:pPr>
        <w:jc w:val="center"/>
        <w:rPr>
          <w:b/>
          <w:bCs/>
        </w:rPr>
      </w:pPr>
      <w:r>
        <w:rPr>
          <w:b/>
          <w:bCs/>
        </w:rPr>
        <w:t>OPD/IMMT/SC/035</w:t>
      </w:r>
      <w:r w:rsidR="00AD1BD9">
        <w:rPr>
          <w:b/>
          <w:bCs/>
        </w:rPr>
        <w:t>/2022</w:t>
      </w:r>
    </w:p>
    <w:p w:rsidR="001327F7" w:rsidRPr="00C40C55" w:rsidRDefault="00C40C55" w:rsidP="00387EB4">
      <w:pPr>
        <w:jc w:val="center"/>
        <w:rPr>
          <w:rFonts w:cstheme="minorHAnsi"/>
          <w:b/>
          <w:bCs/>
        </w:rPr>
      </w:pPr>
      <w:r w:rsidRPr="00C40C55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“</w:t>
      </w:r>
      <w:r w:rsidRPr="00C40C55">
        <w:rPr>
          <w:rFonts w:cstheme="minorHAnsi"/>
          <w:b/>
          <w:iCs/>
        </w:rPr>
        <w:t>ADQUISICIÓN PARA MATERIALES Y UTILES DE ENSEÑAZA PARA TALLER DE FOMENTO AL AUTOEMPLEO, PARA EL INSTITUTO MUNICIPAL DE LA MUJER TLAJOMULQUENSE</w:t>
      </w:r>
      <w:r>
        <w:rPr>
          <w:rFonts w:cstheme="minorHAnsi"/>
          <w:b/>
          <w:iCs/>
        </w:rPr>
        <w:t>”</w:t>
      </w:r>
    </w:p>
    <w:p w:rsidR="005C6BBF" w:rsidRPr="005C6BBF" w:rsidRDefault="00C40C55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 a trav</w:t>
      </w:r>
      <w:r>
        <w:t xml:space="preserve">és de la Jefatura Administrativa </w:t>
      </w:r>
      <w:r w:rsidR="005C6BBF">
        <w:t xml:space="preserve"> </w:t>
      </w:r>
      <w:r w:rsidR="005C6BBF" w:rsidRPr="005C6BBF">
        <w:t>ubic</w:t>
      </w:r>
      <w:r>
        <w:t>ada en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C40C55" w:rsidP="005C6BBF">
      <w:pPr>
        <w:jc w:val="center"/>
        <w:rPr>
          <w:b/>
          <w:bCs/>
        </w:rPr>
      </w:pPr>
      <w:r>
        <w:rPr>
          <w:b/>
          <w:bCs/>
        </w:rPr>
        <w:t>Solicitudes: 00035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C40C55"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D53DF6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2171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C40C55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AD1BD9">
              <w:rPr>
                <w:rFonts w:cstheme="minorHAnsi"/>
                <w:b/>
              </w:rPr>
              <w:t>/07/2022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4628A0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25</w:t>
            </w:r>
            <w:r w:rsidR="00E046AF" w:rsidRPr="00A54BB3">
              <w:rPr>
                <w:rFonts w:cstheme="minorHAnsi"/>
                <w:b/>
              </w:rPr>
              <w:t>/07/2022 01:00:00 p. m</w:t>
            </w:r>
            <w:r w:rsidR="00E046AF" w:rsidRPr="00E046AF">
              <w:rPr>
                <w:rFonts w:cstheme="minorHAnsi"/>
              </w:rPr>
              <w:t>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4628A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E046AF" w:rsidRPr="00A54BB3">
              <w:rPr>
                <w:rFonts w:cstheme="minorHAnsi"/>
                <w:b/>
              </w:rPr>
              <w:t>/07/2022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751E5C" w:rsidRPr="00E046AF" w:rsidTr="00E046AF">
        <w:tc>
          <w:tcPr>
            <w:tcW w:w="4644" w:type="dxa"/>
          </w:tcPr>
          <w:p w:rsidR="00751E5C" w:rsidRPr="00E046AF" w:rsidRDefault="00751E5C" w:rsidP="00F573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Domicilio de entrega de partidas adjudicadas </w:t>
            </w:r>
          </w:p>
        </w:tc>
        <w:tc>
          <w:tcPr>
            <w:tcW w:w="4395" w:type="dxa"/>
          </w:tcPr>
          <w:p w:rsidR="00751E5C" w:rsidRPr="00751E5C" w:rsidRDefault="00751E5C" w:rsidP="005C6B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Juárez Norte #46, Col. Centro, Tlajomulco de Zúñiga, Jalisco.</w:t>
            </w:r>
            <w:bookmarkStart w:id="0" w:name="_GoBack"/>
            <w:bookmarkEnd w:id="0"/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87EB4" w:rsidRDefault="00387EB4" w:rsidP="005C6BBF">
      <w:pPr>
        <w:jc w:val="both"/>
      </w:pPr>
    </w:p>
    <w:p w:rsidR="00387EB4" w:rsidRDefault="00387EB4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2368"/>
        <w:gridCol w:w="1920"/>
        <w:gridCol w:w="2342"/>
      </w:tblGrid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C40C55" w:rsidRDefault="00C40C55" w:rsidP="00FB078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40C55">
              <w:rPr>
                <w:rFonts w:ascii="Calibri" w:eastAsia="Times New Roman" w:hAnsi="Calibri" w:cs="Calibri"/>
                <w:b/>
                <w:color w:val="000000"/>
              </w:rPr>
              <w:t>PARTIDA</w:t>
            </w:r>
          </w:p>
        </w:tc>
        <w:tc>
          <w:tcPr>
            <w:tcW w:w="2368" w:type="dxa"/>
            <w:noWrap/>
            <w:hideMark/>
          </w:tcPr>
          <w:p w:rsidR="00C40C55" w:rsidRPr="00C40C55" w:rsidRDefault="00C40C55" w:rsidP="00FB078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40C55">
              <w:rPr>
                <w:rFonts w:ascii="Calibri" w:eastAsia="Times New Roman" w:hAnsi="Calibri" w:cs="Calibri"/>
                <w:b/>
                <w:color w:val="000000"/>
              </w:rPr>
              <w:t>DESCRIPCIÓN</w:t>
            </w:r>
          </w:p>
        </w:tc>
        <w:tc>
          <w:tcPr>
            <w:tcW w:w="1920" w:type="dxa"/>
            <w:noWrap/>
            <w:hideMark/>
          </w:tcPr>
          <w:p w:rsidR="00C40C55" w:rsidRPr="00C40C55" w:rsidRDefault="00C40C55" w:rsidP="00FB078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40C55">
              <w:rPr>
                <w:rFonts w:ascii="Calibri" w:eastAsia="Times New Roman" w:hAnsi="Calibri" w:cs="Calibri"/>
                <w:b/>
                <w:color w:val="000000"/>
              </w:rPr>
              <w:t xml:space="preserve">CANTIDAD </w:t>
            </w:r>
          </w:p>
        </w:tc>
        <w:tc>
          <w:tcPr>
            <w:tcW w:w="2342" w:type="dxa"/>
            <w:noWrap/>
            <w:hideMark/>
          </w:tcPr>
          <w:p w:rsidR="00C40C55" w:rsidRPr="00C40C55" w:rsidRDefault="00C40C55" w:rsidP="00FB078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40C55">
              <w:rPr>
                <w:rFonts w:ascii="Calibri" w:eastAsia="Times New Roman" w:hAnsi="Calibri" w:cs="Calibri"/>
                <w:b/>
                <w:color w:val="000000"/>
              </w:rPr>
              <w:t>UM</w:t>
            </w:r>
          </w:p>
        </w:tc>
      </w:tr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6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Monómero 1lts</w:t>
            </w:r>
          </w:p>
        </w:tc>
        <w:tc>
          <w:tcPr>
            <w:tcW w:w="1920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42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LTS</w:t>
            </w:r>
          </w:p>
        </w:tc>
      </w:tr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6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Acrílico Cristal  32 oz</w:t>
            </w:r>
          </w:p>
        </w:tc>
        <w:tc>
          <w:tcPr>
            <w:tcW w:w="1920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42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OZ</w:t>
            </w:r>
          </w:p>
        </w:tc>
      </w:tr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6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 xml:space="preserve">Acrílico </w:t>
            </w:r>
            <w:proofErr w:type="spellStart"/>
            <w:r w:rsidRPr="00D92BDC">
              <w:rPr>
                <w:rFonts w:ascii="Calibri" w:eastAsia="Times New Roman" w:hAnsi="Calibri" w:cs="Calibri"/>
                <w:color w:val="000000"/>
              </w:rPr>
              <w:t>Nude</w:t>
            </w:r>
            <w:proofErr w:type="spellEnd"/>
            <w:r w:rsidRPr="00D92BDC">
              <w:rPr>
                <w:rFonts w:ascii="Calibri" w:eastAsia="Times New Roman" w:hAnsi="Calibri" w:cs="Calibri"/>
                <w:color w:val="000000"/>
              </w:rPr>
              <w:t xml:space="preserve"> 32 oz</w:t>
            </w:r>
          </w:p>
        </w:tc>
        <w:tc>
          <w:tcPr>
            <w:tcW w:w="1920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42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OZ</w:t>
            </w:r>
          </w:p>
        </w:tc>
      </w:tr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6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2BDC">
              <w:rPr>
                <w:rFonts w:ascii="Calibri" w:eastAsia="Times New Roman" w:hAnsi="Calibri" w:cs="Calibri"/>
                <w:color w:val="000000"/>
              </w:rPr>
              <w:t>Godete</w:t>
            </w:r>
            <w:proofErr w:type="spellEnd"/>
            <w:r w:rsidRPr="00D92BDC">
              <w:rPr>
                <w:rFonts w:ascii="Calibri" w:eastAsia="Times New Roman" w:hAnsi="Calibri" w:cs="Calibri"/>
                <w:color w:val="000000"/>
              </w:rPr>
              <w:t xml:space="preserve"> ( vasito de vidrio)</w:t>
            </w:r>
          </w:p>
        </w:tc>
        <w:tc>
          <w:tcPr>
            <w:tcW w:w="1920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342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6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Pincel #8</w:t>
            </w:r>
          </w:p>
        </w:tc>
        <w:tc>
          <w:tcPr>
            <w:tcW w:w="1920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342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6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Lima 150</w:t>
            </w:r>
          </w:p>
        </w:tc>
        <w:tc>
          <w:tcPr>
            <w:tcW w:w="1920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342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6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Lima 100</w:t>
            </w:r>
          </w:p>
        </w:tc>
        <w:tc>
          <w:tcPr>
            <w:tcW w:w="1920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342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 xml:space="preserve">Lima </w:t>
            </w:r>
            <w:proofErr w:type="spellStart"/>
            <w:r w:rsidRPr="00D92BDC">
              <w:rPr>
                <w:rFonts w:ascii="Calibri" w:eastAsia="Times New Roman" w:hAnsi="Calibri" w:cs="Calibri"/>
                <w:color w:val="000000"/>
              </w:rPr>
              <w:t>Sponch</w:t>
            </w:r>
            <w:proofErr w:type="spellEnd"/>
            <w:r w:rsidRPr="00D92BD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20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342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6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 xml:space="preserve">Corta </w:t>
            </w:r>
            <w:proofErr w:type="spellStart"/>
            <w:r w:rsidRPr="00D92BDC">
              <w:rPr>
                <w:rFonts w:ascii="Calibri" w:eastAsia="Times New Roman" w:hAnsi="Calibri" w:cs="Calibri"/>
                <w:color w:val="000000"/>
              </w:rPr>
              <w:t>Tip</w:t>
            </w:r>
            <w:proofErr w:type="spellEnd"/>
          </w:p>
        </w:tc>
        <w:tc>
          <w:tcPr>
            <w:tcW w:w="1920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342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6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Resina de brocha</w:t>
            </w:r>
          </w:p>
        </w:tc>
        <w:tc>
          <w:tcPr>
            <w:tcW w:w="1920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42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6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2BDC">
              <w:rPr>
                <w:rFonts w:ascii="Calibri" w:eastAsia="Times New Roman" w:hAnsi="Calibri" w:cs="Calibri"/>
                <w:color w:val="000000"/>
              </w:rPr>
              <w:t>Tip</w:t>
            </w:r>
            <w:proofErr w:type="spellEnd"/>
            <w:r w:rsidRPr="00D92BDC">
              <w:rPr>
                <w:rFonts w:ascii="Calibri" w:eastAsia="Times New Roman" w:hAnsi="Calibri" w:cs="Calibri"/>
                <w:color w:val="000000"/>
              </w:rPr>
              <w:t xml:space="preserve"> Cristal Caja C/500</w:t>
            </w:r>
          </w:p>
        </w:tc>
        <w:tc>
          <w:tcPr>
            <w:tcW w:w="1920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42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CAJA</w:t>
            </w:r>
          </w:p>
        </w:tc>
      </w:tr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6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Primer</w:t>
            </w:r>
          </w:p>
        </w:tc>
        <w:tc>
          <w:tcPr>
            <w:tcW w:w="1920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42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6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Antiséptico</w:t>
            </w:r>
          </w:p>
        </w:tc>
        <w:tc>
          <w:tcPr>
            <w:tcW w:w="1920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42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6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Empujador de Cutícula</w:t>
            </w:r>
          </w:p>
        </w:tc>
        <w:tc>
          <w:tcPr>
            <w:tcW w:w="1920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342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6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Aceite de Cutícula</w:t>
            </w:r>
          </w:p>
        </w:tc>
        <w:tc>
          <w:tcPr>
            <w:tcW w:w="1920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42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C40C55" w:rsidRPr="00D92BDC" w:rsidTr="00C40C55">
        <w:trPr>
          <w:trHeight w:val="502"/>
        </w:trPr>
        <w:tc>
          <w:tcPr>
            <w:tcW w:w="219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68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Lámpara Led</w:t>
            </w:r>
          </w:p>
        </w:tc>
        <w:tc>
          <w:tcPr>
            <w:tcW w:w="1920" w:type="dxa"/>
            <w:noWrap/>
            <w:hideMark/>
          </w:tcPr>
          <w:p w:rsidR="00C40C55" w:rsidRPr="00C40C55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C5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42" w:type="dxa"/>
            <w:noWrap/>
            <w:hideMark/>
          </w:tcPr>
          <w:p w:rsidR="00C40C55" w:rsidRPr="00D92BDC" w:rsidRDefault="00C40C55" w:rsidP="00FB07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C40C55" w:rsidTr="00C40C55">
        <w:tc>
          <w:tcPr>
            <w:tcW w:w="8828" w:type="dxa"/>
            <w:gridSpan w:val="4"/>
          </w:tcPr>
          <w:p w:rsidR="00C40C55" w:rsidRPr="00C40C55" w:rsidRDefault="00C40C55" w:rsidP="00C40C55">
            <w:pPr>
              <w:spacing w:after="200" w:line="276" w:lineRule="auto"/>
              <w:jc w:val="center"/>
            </w:pPr>
            <w:r w:rsidRPr="00C40C55">
              <w:t>Descripción Detallada:</w:t>
            </w:r>
          </w:p>
          <w:p w:rsidR="00C40C55" w:rsidRPr="00C40C55" w:rsidRDefault="00C40C55" w:rsidP="00C40C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40C55">
              <w:rPr>
                <w:rFonts w:cstheme="minorHAnsi"/>
                <w:iCs/>
                <w:sz w:val="20"/>
                <w:szCs w:val="20"/>
              </w:rPr>
              <w:t>ADQUISICIÓN PARA MATERIALES Y UTILES DE ENSEÑAZA PARA TALLER DE FOMENTO AL AUTOEMPLEO (TALLER DE UÑAS) DESTINADO PARA MUJERES DEL MUNICIPIO DE TLAJOMULCO DE ZÚÑIGA</w:t>
            </w:r>
          </w:p>
          <w:p w:rsidR="00C40C55" w:rsidRPr="00C40C55" w:rsidRDefault="00C40C55" w:rsidP="00C40C55">
            <w:pPr>
              <w:spacing w:after="200" w:line="276" w:lineRule="auto"/>
              <w:jc w:val="center"/>
            </w:pPr>
            <w:r w:rsidRPr="00C40C55">
              <w:t xml:space="preserve">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C40C55" w:rsidRDefault="00C40C55" w:rsidP="00F32677">
      <w:pPr>
        <w:jc w:val="both"/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387EB4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lastRenderedPageBreak/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87EB4" w:rsidRDefault="00387EB4" w:rsidP="00387EB4">
      <w:pPr>
        <w:spacing w:after="0" w:line="240" w:lineRule="auto"/>
        <w:jc w:val="both"/>
      </w:pPr>
    </w:p>
    <w:p w:rsidR="00387EB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</w:t>
      </w:r>
    </w:p>
    <w:p w:rsidR="00740C94" w:rsidRDefault="00F32677" w:rsidP="00F32677">
      <w:pPr>
        <w:jc w:val="both"/>
      </w:pPr>
      <w:r>
        <w:t xml:space="preserve">la adjudicación, de 21 días en adelante además se podrá rescindir </w:t>
      </w:r>
      <w:r w:rsidR="00F867CC">
        <w:t>el Pedido (</w:t>
      </w:r>
      <w:r>
        <w:t>Ord</w:t>
      </w:r>
      <w:r w:rsidR="00F867CC">
        <w:t>en de Compra</w:t>
      </w:r>
      <w:r w:rsidR="00114A18">
        <w:t xml:space="preserve">) o contrato </w:t>
      </w:r>
      <w:r>
        <w:t>a criterio del convocante. Nota: Los porcentajes de la sanción mencionados en la tabla que antecede, no deberán ser acumulables y con el hecho de presentar su oferta acepta estos términos y condiciones.</w:t>
      </w:r>
    </w:p>
    <w:p w:rsidR="00751E5C" w:rsidRDefault="00751E5C" w:rsidP="00F32677">
      <w:pPr>
        <w:jc w:val="both"/>
      </w:pPr>
    </w:p>
    <w:p w:rsidR="00751E5C" w:rsidRDefault="00751E5C" w:rsidP="00751E5C"/>
    <w:p w:rsidR="00751E5C" w:rsidRDefault="00751E5C" w:rsidP="00751E5C">
      <w:pPr>
        <w:spacing w:after="0"/>
        <w:ind w:left="708" w:hanging="708"/>
      </w:pPr>
      <w:r>
        <w:t xml:space="preserve"> Lic. Jessica Isabel Ortiz Martínez </w:t>
      </w:r>
    </w:p>
    <w:p w:rsidR="00751E5C" w:rsidRDefault="00751E5C" w:rsidP="00751E5C">
      <w:pPr>
        <w:spacing w:after="0"/>
      </w:pPr>
      <w:r>
        <w:t xml:space="preserve">Jefatura Administrativa del Instituto </w:t>
      </w:r>
    </w:p>
    <w:p w:rsidR="00751E5C" w:rsidRDefault="00751E5C" w:rsidP="00751E5C">
      <w:pPr>
        <w:spacing w:after="0"/>
      </w:pPr>
      <w:r>
        <w:t xml:space="preserve">Municipal de la Mujer </w:t>
      </w:r>
      <w:proofErr w:type="spellStart"/>
      <w:r>
        <w:t>Tlajomulquense</w:t>
      </w:r>
      <w:proofErr w:type="spellEnd"/>
    </w:p>
    <w:sectPr w:rsidR="00751E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101DC8"/>
    <w:rsid w:val="00114A18"/>
    <w:rsid w:val="001177B6"/>
    <w:rsid w:val="001327F7"/>
    <w:rsid w:val="001F17B1"/>
    <w:rsid w:val="001F66C1"/>
    <w:rsid w:val="00320ABD"/>
    <w:rsid w:val="00387EB4"/>
    <w:rsid w:val="003A4474"/>
    <w:rsid w:val="003C22A3"/>
    <w:rsid w:val="004628A0"/>
    <w:rsid w:val="005017AA"/>
    <w:rsid w:val="005325AA"/>
    <w:rsid w:val="005C6BBF"/>
    <w:rsid w:val="00687874"/>
    <w:rsid w:val="00740C94"/>
    <w:rsid w:val="00747CF6"/>
    <w:rsid w:val="00751E5C"/>
    <w:rsid w:val="007A3961"/>
    <w:rsid w:val="007E149C"/>
    <w:rsid w:val="008301CE"/>
    <w:rsid w:val="008E3094"/>
    <w:rsid w:val="00A54BB3"/>
    <w:rsid w:val="00AD1BD9"/>
    <w:rsid w:val="00BD1233"/>
    <w:rsid w:val="00C40C55"/>
    <w:rsid w:val="00C51784"/>
    <w:rsid w:val="00D2349B"/>
    <w:rsid w:val="00D53DF6"/>
    <w:rsid w:val="00DD2932"/>
    <w:rsid w:val="00DF1819"/>
    <w:rsid w:val="00E046AF"/>
    <w:rsid w:val="00EF7FD9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FEB8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40C55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0C55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1213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2022-07-21T17:41:00Z</cp:lastPrinted>
  <dcterms:created xsi:type="dcterms:W3CDTF">2022-07-21T15:23:00Z</dcterms:created>
  <dcterms:modified xsi:type="dcterms:W3CDTF">2022-07-21T17:59:00Z</dcterms:modified>
</cp:coreProperties>
</file>