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F82DAB" w:rsidP="00387EB4">
      <w:pPr>
        <w:jc w:val="center"/>
        <w:rPr>
          <w:b/>
          <w:bCs/>
        </w:rPr>
      </w:pPr>
      <w:r>
        <w:rPr>
          <w:b/>
          <w:bCs/>
        </w:rPr>
        <w:t>OPD/IMMT/SC/006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>
        <w:rPr>
          <w:b/>
          <w:bCs/>
        </w:rPr>
        <w:t>EVENTOS DE MARZO EN CONMEMORACION DEL “DÍA INTERNACIONAL DE LA MUJER”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82DAB" w:rsidP="005C6BBF">
      <w:pPr>
        <w:jc w:val="center"/>
        <w:rPr>
          <w:b/>
          <w:bCs/>
        </w:rPr>
      </w:pPr>
      <w:r>
        <w:rPr>
          <w:b/>
          <w:bCs/>
        </w:rPr>
        <w:t>Solicitudes: 006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242183">
              <w:rPr>
                <w:rFonts w:cstheme="minorHAnsi"/>
                <w:b/>
                <w:lang w:val="es-ES_tradnl" w:eastAsia="es-ES"/>
              </w:rPr>
              <w:t>, 2111, 2731</w:t>
            </w:r>
            <w:r w:rsidR="00CC31EE">
              <w:rPr>
                <w:rFonts w:cstheme="minorHAnsi"/>
                <w:b/>
                <w:lang w:val="es-ES_tradnl" w:eastAsia="es-ES"/>
              </w:rPr>
              <w:t>,3291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4695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D7641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15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7641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CAJA DE GALLETAS SURTIDAS CON </w:t>
            </w:r>
            <w:r w:rsidR="00D7319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MAS DE 400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GRMS 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CAJAS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SERVILLETAS C/400 PZAS DE HOJA SENCILLA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CUCHARA CHICA DE PLASTICO C/50 PZAS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VASOS DE UNICEL #10 TÉRMICOS C/25 PZAS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PAQUETES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AZÚCAR REFINADA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KG </w:t>
            </w:r>
          </w:p>
        </w:tc>
      </w:tr>
      <w:tr w:rsidR="009211A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SUSTITUTO DE CREMA PARA CAFE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11A2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1A2" w:rsidRDefault="009211A2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KG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CAFÉ AMERICANO REGULAR MOLIDO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KG </w:t>
            </w:r>
          </w:p>
        </w:tc>
      </w:tr>
      <w:tr w:rsidR="00FD5325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FD532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5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VASOS TIPO CRISTAL DE 14 oz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FD5325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D5325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5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DE BANQUETE PARA EVENTO DEL 03 D MARZO EN CASA DE LA CULTURA QUE INCLUYA 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BOCADILLOS PARA 80 PERSONAS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BEBIDAS PARA 80 PERSONA </w:t>
            </w:r>
          </w:p>
          <w:p w:rsidR="00EF4FD9" w:rsidRDefault="00EF4FD9" w:rsidP="00EF4FD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DE 3 MESEROS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325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325" w:rsidRDefault="00FD5325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GRUPO DE AMBIENTACION MUSICAL PARA EVENTO DEL 3 DE MARZO, 2 HORAS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MESAS PERIQUERAS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F4FD9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EF4FD9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FD9" w:rsidRDefault="00EF4FD9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TROFEOS </w:t>
            </w:r>
            <w:r w:rsidR="0038546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LASERABLES TAMAÑO APROX DE 15 A 20 CMS DE ALTURA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FD9" w:rsidRDefault="0038546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FD9" w:rsidRDefault="00EF4FD9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385466" w:rsidRDefault="0038546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EE612E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TOLDO DE 12 X 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EE612E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2E" w:rsidRDefault="00EE612E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TABLONES DE 1.24 X 61 CM CON MANTEL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2E" w:rsidRDefault="00EE612E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EE612E" w:rsidRDefault="00EE612E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CC032D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32D" w:rsidRDefault="00CC032D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32D" w:rsidRDefault="00CC032D" w:rsidP="00EF4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PAR DE LUCES LED </w:t>
            </w:r>
            <w:r w:rsidR="009B339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54X3 W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32D" w:rsidRDefault="009B339C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32D" w:rsidRDefault="00CC032D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9B339C" w:rsidRDefault="009B339C" w:rsidP="009B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  <w:p w:rsidR="006E1BA8" w:rsidRDefault="006E1BA8" w:rsidP="009B3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bookmarkStart w:id="0" w:name="_GoBack"/>
            <w:bookmarkEnd w:id="0"/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lastRenderedPageBreak/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32" w:rsidRDefault="00226B32" w:rsidP="00913699">
      <w:pPr>
        <w:spacing w:after="0" w:line="240" w:lineRule="auto"/>
      </w:pPr>
      <w:r>
        <w:separator/>
      </w:r>
    </w:p>
  </w:endnote>
  <w:endnote w:type="continuationSeparator" w:id="0">
    <w:p w:rsidR="00226B32" w:rsidRDefault="00226B3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32" w:rsidRDefault="00226B32" w:rsidP="00913699">
      <w:pPr>
        <w:spacing w:after="0" w:line="240" w:lineRule="auto"/>
      </w:pPr>
      <w:r>
        <w:separator/>
      </w:r>
    </w:p>
  </w:footnote>
  <w:footnote w:type="continuationSeparator" w:id="0">
    <w:p w:rsidR="00226B32" w:rsidRDefault="00226B3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F00"/>
    <w:rsid w:val="00217513"/>
    <w:rsid w:val="00226B32"/>
    <w:rsid w:val="00242183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470B"/>
    <w:rsid w:val="00895186"/>
    <w:rsid w:val="008E24E3"/>
    <w:rsid w:val="008E3094"/>
    <w:rsid w:val="00900CDD"/>
    <w:rsid w:val="009020AF"/>
    <w:rsid w:val="00913699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917CE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876D0"/>
    <w:rsid w:val="00CB68DC"/>
    <w:rsid w:val="00CC032D"/>
    <w:rsid w:val="00CC205B"/>
    <w:rsid w:val="00CC31EE"/>
    <w:rsid w:val="00CE5DC4"/>
    <w:rsid w:val="00CF2AB4"/>
    <w:rsid w:val="00D12187"/>
    <w:rsid w:val="00D130FD"/>
    <w:rsid w:val="00D34B27"/>
    <w:rsid w:val="00D671DC"/>
    <w:rsid w:val="00D72EB0"/>
    <w:rsid w:val="00D73196"/>
    <w:rsid w:val="00D76410"/>
    <w:rsid w:val="00DA6EBC"/>
    <w:rsid w:val="00DC07FC"/>
    <w:rsid w:val="00DC6E3D"/>
    <w:rsid w:val="00DD2932"/>
    <w:rsid w:val="00DF1819"/>
    <w:rsid w:val="00E046AF"/>
    <w:rsid w:val="00E24471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80103"/>
    <w:rsid w:val="00F82DAB"/>
    <w:rsid w:val="00F867CC"/>
    <w:rsid w:val="00F8734B"/>
    <w:rsid w:val="00F90502"/>
    <w:rsid w:val="00FA2D39"/>
    <w:rsid w:val="00FB4CEF"/>
    <w:rsid w:val="00FC7225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73A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2023-02-10T20:33:00Z</cp:lastPrinted>
  <dcterms:created xsi:type="dcterms:W3CDTF">2023-02-10T16:20:00Z</dcterms:created>
  <dcterms:modified xsi:type="dcterms:W3CDTF">2023-02-10T20:44:00Z</dcterms:modified>
</cp:coreProperties>
</file>