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J/SC/036/2025, </w:t>
      </w:r>
      <w:r w:rsidDel="00000000" w:rsidR="00000000" w:rsidRPr="00000000">
        <w:rPr>
          <w:rFonts w:ascii="Arial" w:cs="Arial" w:eastAsia="Arial" w:hAnsi="Arial"/>
          <w:b w:val="1"/>
          <w:bCs w:val="1"/>
          <w:highlight w:val="white"/>
          <w:rtl w:val="0"/>
        </w:rPr>
        <w:t xml:space="preserve">ADQUISICIÓN DE ARTÍCULOS PARA PREMIACIÓN DEL INSTITUTO DE ALTERNATIVAS PARA LOS JÓVENES DEL MUNICIPIO DE TLAJOMULCO DE ZÚÑIGA, JALISCO”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highlight w:val="white"/>
          <w:rtl w:val="0"/>
        </w:rPr>
        <w:t xml:space="preserve">(INDAJO) (ACORTADA).</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2025</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2731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13 de noviembre de 2025</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19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noviembre</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19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noviembre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236862337"/>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1"/>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Playeras color blanca, manga corta, 100% de algodón, peinado de alto gramaje, cuello redondo, reforzado y costuras dobles, con estampado DTF, diseño especial, alta calidad, resistentes, tallas chicas, medianas, grandes y extragrandes.</w:t>
                </w:r>
                <w:r w:rsidDel="00000000" w:rsidR="00000000" w:rsidRPr="00000000">
                  <w:rPr>
                    <w:rtl w:val="0"/>
                  </w:rPr>
                </w:r>
              </w:p>
            </w:tc>
            <w:tc>
              <w:tcPr>
                <w:shd w:fill="auto" w:val="clear"/>
                <w:vAlign w:val="center"/>
              </w:tcPr>
              <w:p w:rsidR="00000000" w:rsidDel="00000000" w:rsidP="00000000" w:rsidRDefault="00000000" w:rsidRPr="00000000" w14:paraId="0000002B">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UNIDADES</w:t>
                </w:r>
              </w:p>
              <w:p w:rsidR="00000000" w:rsidDel="00000000" w:rsidP="00000000" w:rsidRDefault="00000000" w:rsidRPr="00000000" w14:paraId="0000002F">
                <w:pPr>
                  <w:jc w:val="center"/>
                  <w:rPr>
                    <w:rFonts w:ascii="Arial" w:cs="Arial" w:eastAsia="Arial" w:hAnsi="Arial"/>
                    <w:b w:val="1"/>
                    <w:bCs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Bolsas reutilizables de polipropileno no tejido, en color negro, con dimensiones minimas de 35cm x 37cm, termoselladas y personalizadas con estampado en DTF, alta calidad, resistentes.</w:t>
                </w:r>
              </w:p>
            </w:tc>
            <w:tc>
              <w:tcPr>
                <w:shd w:fill="auto" w:val="clear"/>
                <w:vAlign w:val="center"/>
              </w:tcPr>
              <w:p w:rsidR="00000000" w:rsidDel="00000000" w:rsidP="00000000" w:rsidRDefault="00000000" w:rsidRPr="00000000" w14:paraId="00000033">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Cilindros plásticos transparentes de alta resistencia, alta calidad, con capacidad mínima de 500 ML, que incluya tapa de seguridad, personalizados con estampados en DTF UV. </w:t>
                </w:r>
              </w:p>
            </w:tc>
            <w:tc>
              <w:tcPr>
                <w:shd w:fill="auto" w:val="clear"/>
                <w:vAlign w:val="center"/>
              </w:tcPr>
              <w:p w:rsidR="00000000" w:rsidDel="00000000" w:rsidP="00000000" w:rsidRDefault="00000000" w:rsidRPr="00000000" w14:paraId="00000039">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Medallas de metal, con una dimensión mínima de 9 cm, que incluye el grabado láser personalizado, con cordón resistente de alta calidad. </w:t>
                </w:r>
              </w:p>
            </w:tc>
            <w:tc>
              <w:tcPr>
                <w:shd w:fill="auto" w:val="clear"/>
                <w:vAlign w:val="center"/>
              </w:tcPr>
              <w:p w:rsidR="00000000" w:rsidDel="00000000" w:rsidP="00000000" w:rsidRDefault="00000000" w:rsidRPr="00000000" w14:paraId="0000003F">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UNIDADES</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1"/>
                  <w:jc w:val="both"/>
                  <w:rPr>
                    <w:rFonts w:ascii="Arial" w:cs="Arial" w:eastAsia="Arial" w:hAnsi="Arial"/>
                    <w:sz w:val="20"/>
                    <w:szCs w:val="20"/>
                  </w:rPr>
                </w:pPr>
                <w:r w:rsidDel="00000000" w:rsidR="00000000" w:rsidRPr="00000000">
                  <w:rPr>
                    <w:rFonts w:ascii="Arial" w:cs="Arial" w:eastAsia="Arial" w:hAnsi="Arial"/>
                    <w:b w:val="1"/>
                    <w:bCs w:val="1"/>
                    <w:sz w:val="20"/>
                    <w:szCs w:val="20"/>
                    <w:highlight w:val="white"/>
                    <w:rtl w:val="0"/>
                  </w:rPr>
                  <w:t xml:space="preserve">Ubicación de entrega:</w:t>
                </w:r>
                <w:r w:rsidDel="00000000" w:rsidR="00000000" w:rsidRPr="00000000">
                  <w:rPr>
                    <w:rFonts w:ascii="Arial" w:cs="Arial" w:eastAsia="Arial" w:hAnsi="Arial"/>
                    <w:sz w:val="20"/>
                    <w:szCs w:val="20"/>
                    <w:rtl w:val="0"/>
                  </w:rPr>
                  <w:t xml:space="preserve"> Oficinas INDAJO, en la Unidad Deportiva Mariano Otero de la calle Constitución Oriente no. 157 C, Colonia Centro, Tlajomulco de Zúñiga, Jalisco.</w:t>
                </w:r>
              </w:p>
              <w:p w:rsidR="00000000" w:rsidDel="00000000" w:rsidP="00000000" w:rsidRDefault="00000000" w:rsidRPr="00000000" w14:paraId="00000043">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widowControl w:val="1"/>
                  <w:jc w:val="both"/>
                  <w:rPr>
                    <w:rFonts w:ascii="Arial" w:cs="Arial" w:eastAsia="Arial" w:hAnsi="Arial"/>
                    <w:sz w:val="16"/>
                    <w:szCs w:val="16"/>
                  </w:rPr>
                </w:pPr>
                <w:r w:rsidDel="00000000" w:rsidR="00000000" w:rsidRPr="00000000">
                  <w:rPr>
                    <w:rFonts w:ascii="Arial" w:cs="Arial" w:eastAsia="Arial" w:hAnsi="Arial"/>
                    <w:b w:val="1"/>
                    <w:bCs w:val="1"/>
                    <w:sz w:val="20"/>
                    <w:szCs w:val="20"/>
                    <w:highlight w:val="white"/>
                    <w:rtl w:val="0"/>
                  </w:rPr>
                  <w:t xml:space="preserve">Fecha límite de entrega:</w:t>
                </w:r>
                <w:r w:rsidDel="00000000" w:rsidR="00000000" w:rsidRPr="00000000">
                  <w:rPr>
                    <w:rFonts w:ascii="Arial" w:cs="Arial" w:eastAsia="Arial" w:hAnsi="Arial"/>
                    <w:sz w:val="20"/>
                    <w:szCs w:val="20"/>
                    <w:highlight w:val="white"/>
                    <w:rtl w:val="0"/>
                  </w:rPr>
                  <w:t xml:space="preserve"> El día 28 de noviembre de 2025.</w:t>
                </w:r>
                <w:r w:rsidDel="00000000" w:rsidR="00000000" w:rsidRPr="00000000">
                  <w:rPr>
                    <w:rtl w:val="0"/>
                  </w:rPr>
                </w:r>
              </w:p>
            </w:tc>
          </w:tr>
        </w:tbl>
      </w:sdtContent>
    </w:sdt>
    <w:p w:rsidR="00000000" w:rsidDel="00000000" w:rsidP="00000000" w:rsidRDefault="00000000" w:rsidRPr="00000000" w14:paraId="00000048">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4A">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con fecha límite de 28 de noviembre de 2025. La compra de lo adjudicado no será mayor de acuerdo con el tope presupuestal del ejercicio en curso.</w:t>
      </w:r>
    </w:p>
    <w:p w:rsidR="00000000" w:rsidDel="00000000" w:rsidP="00000000" w:rsidRDefault="00000000" w:rsidRPr="00000000" w14:paraId="0000004C">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50">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51">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54">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55">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5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63">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65">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6A">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p>
    <w:p w:rsidR="00000000" w:rsidDel="00000000" w:rsidP="00000000" w:rsidRDefault="00000000" w:rsidRPr="00000000" w14:paraId="0000006B">
      <w:pPr>
        <w:spacing w:after="0" w:line="240" w:lineRule="auto"/>
        <w:jc w:val="left"/>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-380021</wp:posOffset>
          </wp:positionH>
          <wp:positionV relativeFrom="paragraph">
            <wp:posOffset>-85698</wp:posOffset>
          </wp:positionV>
          <wp:extent cx="6678134" cy="630598"/>
          <wp:effectExtent b="0" l="0" r="0" t="0"/>
          <wp:wrapNone/>
          <wp:docPr id="49"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6D">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0"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5oW/+2zFvKg6zLrB7TZrafAVA==">CgMxLjAaHwoBMBIaChgICVIUChJ0YWJsZS5iZjUxOTZvNmltcDYyDmguYzhpenAzY2M1N2Q1OAByITE5ZW1yS3QtejdDQUJTSVVwQ244RjNRVEs3aFdUR045Uw==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