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DB7780" w:rsidRPr="009F442F" w:rsidRDefault="00F47AF1" w:rsidP="00DB7780">
      <w:pPr>
        <w:spacing w:after="0" w:line="240" w:lineRule="auto"/>
        <w:jc w:val="center"/>
        <w:rPr>
          <w:rFonts w:ascii="Arial" w:hAnsi="Arial" w:cs="Arial"/>
          <w:b/>
        </w:rPr>
      </w:pPr>
      <w:r>
        <w:rPr>
          <w:rFonts w:ascii="Arial" w:eastAsia="Arial" w:hAnsi="Arial" w:cs="Arial"/>
          <w:b/>
          <w:color w:val="000000"/>
        </w:rPr>
        <w:t>C</w:t>
      </w:r>
      <w:r w:rsidR="00DB7780" w:rsidRPr="009F442F">
        <w:rPr>
          <w:rFonts w:ascii="Arial" w:eastAsia="Arial" w:hAnsi="Arial" w:cs="Arial"/>
          <w:b/>
          <w:color w:val="000000"/>
        </w:rPr>
        <w:t>ONVOCATORIA</w:t>
      </w:r>
      <w:r>
        <w:rPr>
          <w:rFonts w:ascii="Arial" w:hAnsi="Arial" w:cs="Arial"/>
          <w:b/>
        </w:rPr>
        <w:t xml:space="preserve"> OPD/IAJ/SC/021</w:t>
      </w:r>
      <w:r w:rsidR="00DB7780">
        <w:rPr>
          <w:rFonts w:ascii="Arial" w:hAnsi="Arial" w:cs="Arial"/>
          <w:b/>
        </w:rPr>
        <w:t>/2024</w:t>
      </w:r>
    </w:p>
    <w:p w:rsidR="00DB7780" w:rsidRDefault="00DB7780" w:rsidP="00DB7780">
      <w:pPr>
        <w:spacing w:after="0" w:line="240" w:lineRule="auto"/>
        <w:jc w:val="center"/>
        <w:rPr>
          <w:rFonts w:ascii="Arial" w:eastAsia="Arial" w:hAnsi="Arial" w:cs="Arial"/>
          <w:b/>
          <w:color w:val="000000"/>
        </w:rPr>
      </w:pPr>
      <w:r w:rsidRPr="00637D06">
        <w:rPr>
          <w:rFonts w:ascii="Arial" w:hAnsi="Arial" w:cs="Arial"/>
          <w:b/>
        </w:rPr>
        <w:t>“ADQUISICIÓN DE LICENCIA</w:t>
      </w:r>
      <w:r>
        <w:rPr>
          <w:rFonts w:ascii="Arial" w:hAnsi="Arial" w:cs="Arial"/>
          <w:b/>
        </w:rPr>
        <w:t xml:space="preserve"> DE SOFTWARE DE DISEÑO GRAFICO </w:t>
      </w:r>
      <w:r w:rsidRPr="00637D06">
        <w:rPr>
          <w:rFonts w:ascii="Arial" w:hAnsi="Arial" w:cs="Arial"/>
          <w:b/>
        </w:rPr>
        <w:t>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DB7780">
            <w:pPr>
              <w:jc w:val="both"/>
              <w:rPr>
                <w:rFonts w:ascii="Arial" w:hAnsi="Arial" w:cs="Arial"/>
                <w:b/>
                <w:lang w:val="es-ES_tradnl" w:eastAsia="es-ES"/>
              </w:rPr>
            </w:pPr>
            <w:r>
              <w:rPr>
                <w:rFonts w:ascii="Arial" w:hAnsi="Arial" w:cs="Arial"/>
                <w:b/>
                <w:lang w:val="es-ES_tradnl" w:eastAsia="es-ES"/>
              </w:rPr>
              <w:t xml:space="preserve">Se podrá adjudicar </w:t>
            </w:r>
            <w:r w:rsidR="00DB7780">
              <w:rPr>
                <w:rFonts w:ascii="Arial" w:hAnsi="Arial" w:cs="Arial"/>
                <w:b/>
                <w:lang w:val="es-ES_tradnl" w:eastAsia="es-ES"/>
              </w:rPr>
              <w:t>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DB7780" w:rsidP="00C5434A">
            <w:pPr>
              <w:jc w:val="both"/>
              <w:rPr>
                <w:rFonts w:ascii="Arial" w:hAnsi="Arial" w:cs="Arial"/>
                <w:lang w:val="es-ES_tradnl" w:eastAsia="es-ES"/>
              </w:rPr>
            </w:pPr>
            <w:r>
              <w:rPr>
                <w:rFonts w:ascii="Arial" w:hAnsi="Arial" w:cs="Arial"/>
                <w:lang w:val="es-ES_tradnl" w:eastAsia="es-ES"/>
              </w:rPr>
              <w:t>5911</w:t>
            </w:r>
          </w:p>
        </w:tc>
      </w:tr>
      <w:tr w:rsidR="001F5525" w:rsidRPr="006F1309" w:rsidTr="004244B5">
        <w:tc>
          <w:tcPr>
            <w:tcW w:w="4390" w:type="dxa"/>
          </w:tcPr>
          <w:p w:rsidR="001F5525" w:rsidRPr="002F2AD9" w:rsidRDefault="001F5525" w:rsidP="0031011D">
            <w:pPr>
              <w:jc w:val="both"/>
              <w:rPr>
                <w:rFonts w:ascii="Arial" w:hAnsi="Arial" w:cs="Arial"/>
                <w:lang w:val="es-ES_tradnl" w:eastAsia="es-ES"/>
              </w:rPr>
            </w:pPr>
          </w:p>
        </w:tc>
        <w:tc>
          <w:tcPr>
            <w:tcW w:w="4677" w:type="dxa"/>
          </w:tcPr>
          <w:p w:rsidR="001F5525" w:rsidRDefault="001F5525" w:rsidP="00C5434A">
            <w:pPr>
              <w:jc w:val="both"/>
              <w:rPr>
                <w:rFonts w:ascii="Arial" w:hAnsi="Arial" w:cs="Arial"/>
                <w:lang w:val="es-ES_tradnl" w:eastAsia="es-ES"/>
              </w:rPr>
            </w:pP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1C0813" w:rsidRDefault="00524FCA" w:rsidP="009E0177">
            <w:pPr>
              <w:spacing w:after="200" w:line="276" w:lineRule="auto"/>
              <w:jc w:val="both"/>
              <w:rPr>
                <w:rFonts w:ascii="Arial" w:hAnsi="Arial" w:cs="Arial"/>
                <w:color w:val="000000"/>
              </w:rPr>
            </w:pPr>
            <w:r>
              <w:rPr>
                <w:rFonts w:ascii="Arial" w:hAnsi="Arial" w:cs="Arial"/>
                <w:color w:val="000000"/>
              </w:rPr>
              <w:t>18</w:t>
            </w:r>
            <w:bookmarkStart w:id="0" w:name="_GoBack"/>
            <w:bookmarkEnd w:id="0"/>
            <w:r w:rsidR="008C283F">
              <w:rPr>
                <w:rFonts w:ascii="Arial" w:hAnsi="Arial" w:cs="Arial"/>
                <w:color w:val="000000"/>
              </w:rPr>
              <w:t xml:space="preserve"> </w:t>
            </w:r>
            <w:r w:rsidR="00F57EB4">
              <w:rPr>
                <w:rFonts w:ascii="Arial" w:hAnsi="Arial" w:cs="Arial"/>
                <w:color w:val="000000"/>
              </w:rPr>
              <w:t>de</w:t>
            </w:r>
            <w:r w:rsidR="008C283F">
              <w:rPr>
                <w:rFonts w:ascii="Arial" w:hAnsi="Arial" w:cs="Arial"/>
                <w:color w:val="000000"/>
              </w:rPr>
              <w:t xml:space="preserve"> abril</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F47AF1" w:rsidP="00F60D08">
            <w:pPr>
              <w:spacing w:after="200"/>
              <w:jc w:val="both"/>
              <w:rPr>
                <w:rFonts w:ascii="Arial" w:hAnsi="Arial" w:cs="Arial"/>
              </w:rPr>
            </w:pPr>
            <w:r>
              <w:rPr>
                <w:rFonts w:ascii="Arial" w:hAnsi="Arial" w:cs="Arial"/>
                <w:color w:val="000000"/>
              </w:rPr>
              <w:t>29</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sidR="00F60D08">
              <w:rPr>
                <w:rFonts w:ascii="Arial" w:hAnsi="Arial" w:cs="Arial"/>
                <w:color w:val="000000"/>
              </w:rPr>
              <w:t xml:space="preserve">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F47AF1" w:rsidP="009E0177">
            <w:pPr>
              <w:spacing w:after="200"/>
              <w:jc w:val="both"/>
              <w:rPr>
                <w:rFonts w:ascii="Arial" w:hAnsi="Arial" w:cs="Arial"/>
                <w:color w:val="000000"/>
              </w:rPr>
            </w:pPr>
            <w:r>
              <w:rPr>
                <w:rFonts w:ascii="Arial" w:hAnsi="Arial" w:cs="Arial"/>
                <w:color w:val="000000"/>
              </w:rPr>
              <w:t>29</w:t>
            </w:r>
            <w:r w:rsidR="00F60D08">
              <w:rPr>
                <w:rFonts w:ascii="Arial" w:hAnsi="Arial" w:cs="Arial"/>
                <w:color w:val="000000"/>
              </w:rPr>
              <w:t xml:space="preserve"> de 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382"/>
        <w:gridCol w:w="1415"/>
        <w:gridCol w:w="1170"/>
      </w:tblGrid>
      <w:tr w:rsidR="00A061CE" w:rsidTr="00C5434A">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DB7780" w:rsidTr="00C5434A">
        <w:trPr>
          <w:trHeight w:val="195"/>
        </w:trPr>
        <w:tc>
          <w:tcPr>
            <w:tcW w:w="1030" w:type="dxa"/>
            <w:noWrap/>
          </w:tcPr>
          <w:p w:rsidR="00DB7780" w:rsidRPr="00C5434A" w:rsidRDefault="00DB7780" w:rsidP="00DB7780">
            <w:pPr>
              <w:jc w:val="center"/>
              <w:rPr>
                <w:rFonts w:ascii="Calibri" w:eastAsia="Times New Roman" w:hAnsi="Calibri" w:cs="Calibri"/>
                <w:b/>
                <w:color w:val="000000"/>
              </w:rPr>
            </w:pPr>
            <w:r w:rsidRPr="00C5434A">
              <w:rPr>
                <w:rFonts w:ascii="Calibri" w:eastAsia="Times New Roman" w:hAnsi="Calibri" w:cs="Calibri"/>
                <w:b/>
                <w:color w:val="000000"/>
              </w:rPr>
              <w:t>1</w:t>
            </w:r>
          </w:p>
        </w:tc>
        <w:tc>
          <w:tcPr>
            <w:tcW w:w="5382" w:type="dxa"/>
            <w:noWrap/>
          </w:tcPr>
          <w:p w:rsidR="00DB7780" w:rsidRPr="000E23AE" w:rsidRDefault="00DB7780" w:rsidP="00DB7780">
            <w:pPr>
              <w:rPr>
                <w:rFonts w:cstheme="minorHAnsi"/>
                <w:bCs/>
                <w:color w:val="000000"/>
                <w:sz w:val="23"/>
                <w:szCs w:val="23"/>
              </w:rPr>
            </w:pPr>
            <w:r w:rsidRPr="000E23AE">
              <w:rPr>
                <w:rFonts w:cstheme="minorHAnsi"/>
                <w:b/>
                <w:bCs/>
                <w:color w:val="000000"/>
                <w:sz w:val="23"/>
                <w:szCs w:val="23"/>
              </w:rPr>
              <w:t xml:space="preserve">PLAN DE CREATIVE CLOUD </w:t>
            </w:r>
          </w:p>
          <w:p w:rsidR="00DB7780" w:rsidRPr="00BF59E6" w:rsidRDefault="00DB7780" w:rsidP="00DB7780">
            <w:pPr>
              <w:rPr>
                <w:rFonts w:ascii="Arial" w:hAnsi="Arial" w:cs="Arial"/>
                <w:b/>
                <w:color w:val="000000"/>
                <w:sz w:val="23"/>
                <w:szCs w:val="23"/>
              </w:rPr>
            </w:pPr>
            <w:r w:rsidRPr="000E23AE">
              <w:rPr>
                <w:rFonts w:cstheme="minorHAnsi"/>
                <w:color w:val="000000"/>
                <w:sz w:val="23"/>
                <w:szCs w:val="23"/>
              </w:rPr>
              <w:t>PARA CONSEGUIR LAS APLICACIONES Y SERVICIOS QUE SE NECESITAN PARA CUALQUIER TIPO DE TRABAJO CREATIVO, DESDE LA FOTOGRAFÍA Y EL DISEÑO GRÁFICO AL VIDEO, LAS INTERFACES DE USUARIO, LAS EXPERIENCIAS DE CLIENTE Y LAS REDES SOCIALES. APLICACIONES INCLUIDAS, PHOTOSHOP, ILLUSTRATOR, PREMIER PRO, ACROBAT PRO, INDESING, ADOBE EXPRESS, ADOBE FIREFLY, AFTEREFFECTS, LIGHTROOM, MEDIA ENCODER.</w:t>
            </w:r>
          </w:p>
        </w:tc>
        <w:tc>
          <w:tcPr>
            <w:tcW w:w="1415" w:type="dxa"/>
            <w:noWrap/>
          </w:tcPr>
          <w:p w:rsidR="00DB7780" w:rsidRPr="00A02E40" w:rsidRDefault="00DB7780" w:rsidP="00DB7780">
            <w:pPr>
              <w:jc w:val="center"/>
            </w:pPr>
            <w:r>
              <w:t>1</w:t>
            </w:r>
          </w:p>
        </w:tc>
        <w:tc>
          <w:tcPr>
            <w:tcW w:w="1170" w:type="dxa"/>
          </w:tcPr>
          <w:p w:rsidR="00DB7780" w:rsidRPr="00A02E40" w:rsidRDefault="00DB7780" w:rsidP="00DB7780">
            <w:pPr>
              <w:jc w:val="center"/>
            </w:pPr>
            <w:r>
              <w:t>SERVICIO</w:t>
            </w:r>
          </w:p>
        </w:tc>
      </w:tr>
    </w:tbl>
    <w:p w:rsidR="002B5C92" w:rsidRDefault="002B5C92" w:rsidP="00EB4D6C">
      <w:pPr>
        <w:spacing w:after="0" w:line="240" w:lineRule="auto"/>
        <w:jc w:val="both"/>
        <w:rPr>
          <w:b/>
        </w:rPr>
      </w:pPr>
    </w:p>
    <w:p w:rsidR="00F47AF1" w:rsidRPr="00F47AF1" w:rsidRDefault="00F47AF1" w:rsidP="00F47AF1">
      <w:pPr>
        <w:spacing w:after="0" w:line="240" w:lineRule="auto"/>
        <w:jc w:val="both"/>
        <w:rPr>
          <w:b/>
        </w:rPr>
      </w:pPr>
      <w:r w:rsidRPr="00F47AF1">
        <w:rPr>
          <w:b/>
        </w:rPr>
        <w:t>Primera licitación fue publicada el día 04 de abril del 2024 y vencida el día 15 de abril del 2024,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F47AF1" w:rsidRDefault="00F47AF1" w:rsidP="00F47AF1">
      <w:pPr>
        <w:spacing w:after="0" w:line="240" w:lineRule="auto"/>
        <w:jc w:val="both"/>
        <w:rPr>
          <w:b/>
        </w:rPr>
      </w:pPr>
      <w:r w:rsidRPr="00F47AF1">
        <w:rPr>
          <w:b/>
        </w:rPr>
        <w:t>Nota: La presente licitación podrá ser adjudicada por partida.</w:t>
      </w:r>
    </w:p>
    <w:p w:rsidR="002B5C92" w:rsidRPr="002B5C92" w:rsidRDefault="002B5C92" w:rsidP="00F47AF1">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F60D08" w:rsidRDefault="00F60D08" w:rsidP="00EB4D6C">
      <w:pPr>
        <w:spacing w:after="0" w:line="240" w:lineRule="auto"/>
        <w:rPr>
          <w:b/>
        </w:rPr>
      </w:pPr>
    </w:p>
    <w:p w:rsidR="00F60D08" w:rsidRDefault="00F60D08"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DB7780" w:rsidRDefault="00DB7780" w:rsidP="00EB4D6C">
      <w:pPr>
        <w:spacing w:after="0" w:line="240" w:lineRule="auto"/>
        <w:rPr>
          <w:rFonts w:ascii="Arial" w:hAnsi="Arial" w:cs="Arial"/>
          <w:sz w:val="21"/>
          <w:szCs w:val="21"/>
        </w:rPr>
      </w:pPr>
    </w:p>
    <w:p w:rsidR="00DB7780" w:rsidRDefault="00DB7780" w:rsidP="00EB4D6C">
      <w:pPr>
        <w:spacing w:after="0" w:line="240" w:lineRule="auto"/>
        <w:rPr>
          <w:rFonts w:ascii="Arial" w:hAnsi="Arial" w:cs="Arial"/>
          <w:sz w:val="21"/>
          <w:szCs w:val="21"/>
        </w:rPr>
      </w:pPr>
    </w:p>
    <w:p w:rsidR="00D7780C" w:rsidRDefault="00D7780C" w:rsidP="00EB4D6C">
      <w:pPr>
        <w:spacing w:after="0" w:line="240" w:lineRule="auto"/>
        <w:rPr>
          <w:rFonts w:ascii="Arial" w:hAnsi="Arial" w:cs="Arial"/>
          <w:sz w:val="21"/>
          <w:szCs w:val="21"/>
        </w:rPr>
      </w:pPr>
    </w:p>
    <w:p w:rsidR="00F47AF1" w:rsidRDefault="00F47AF1"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4D" w:rsidRDefault="003C764D">
      <w:pPr>
        <w:spacing w:after="0" w:line="240" w:lineRule="auto"/>
      </w:pPr>
      <w:r>
        <w:separator/>
      </w:r>
    </w:p>
  </w:endnote>
  <w:endnote w:type="continuationSeparator" w:id="0">
    <w:p w:rsidR="003C764D" w:rsidRDefault="003C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4D" w:rsidRDefault="003C764D">
      <w:pPr>
        <w:spacing w:after="0" w:line="240" w:lineRule="auto"/>
      </w:pPr>
      <w:r>
        <w:separator/>
      </w:r>
    </w:p>
  </w:footnote>
  <w:footnote w:type="continuationSeparator" w:id="0">
    <w:p w:rsidR="003C764D" w:rsidRDefault="003C7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324E"/>
    <w:rsid w:val="00035B5F"/>
    <w:rsid w:val="000402E7"/>
    <w:rsid w:val="00042B92"/>
    <w:rsid w:val="0009334C"/>
    <w:rsid w:val="00095629"/>
    <w:rsid w:val="000A00C2"/>
    <w:rsid w:val="000A2186"/>
    <w:rsid w:val="000C6019"/>
    <w:rsid w:val="001035DF"/>
    <w:rsid w:val="0011487B"/>
    <w:rsid w:val="00115BD3"/>
    <w:rsid w:val="00116030"/>
    <w:rsid w:val="00116438"/>
    <w:rsid w:val="00121A40"/>
    <w:rsid w:val="0014400B"/>
    <w:rsid w:val="00146B6B"/>
    <w:rsid w:val="00147080"/>
    <w:rsid w:val="001514EC"/>
    <w:rsid w:val="001532BC"/>
    <w:rsid w:val="00167BA0"/>
    <w:rsid w:val="00190F87"/>
    <w:rsid w:val="001A497A"/>
    <w:rsid w:val="001A5474"/>
    <w:rsid w:val="001A74E7"/>
    <w:rsid w:val="001B70D5"/>
    <w:rsid w:val="001C0813"/>
    <w:rsid w:val="001D3206"/>
    <w:rsid w:val="001D5F1A"/>
    <w:rsid w:val="001E183A"/>
    <w:rsid w:val="001F5525"/>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C764D"/>
    <w:rsid w:val="003D1CEA"/>
    <w:rsid w:val="003D2495"/>
    <w:rsid w:val="004115CE"/>
    <w:rsid w:val="004244B5"/>
    <w:rsid w:val="00436B49"/>
    <w:rsid w:val="00441C9D"/>
    <w:rsid w:val="004454D9"/>
    <w:rsid w:val="004469FD"/>
    <w:rsid w:val="00457FE9"/>
    <w:rsid w:val="00472C44"/>
    <w:rsid w:val="00474E4D"/>
    <w:rsid w:val="00475217"/>
    <w:rsid w:val="00476DC9"/>
    <w:rsid w:val="00490EB8"/>
    <w:rsid w:val="004977AD"/>
    <w:rsid w:val="004C05F0"/>
    <w:rsid w:val="004D0635"/>
    <w:rsid w:val="004D1137"/>
    <w:rsid w:val="004D270E"/>
    <w:rsid w:val="004F1110"/>
    <w:rsid w:val="004F6BA5"/>
    <w:rsid w:val="00511EE9"/>
    <w:rsid w:val="005172D1"/>
    <w:rsid w:val="00523D74"/>
    <w:rsid w:val="00524FCA"/>
    <w:rsid w:val="005515E5"/>
    <w:rsid w:val="00556547"/>
    <w:rsid w:val="00556F13"/>
    <w:rsid w:val="00576FCB"/>
    <w:rsid w:val="005A0790"/>
    <w:rsid w:val="005A3346"/>
    <w:rsid w:val="005C5E42"/>
    <w:rsid w:val="00604702"/>
    <w:rsid w:val="00652559"/>
    <w:rsid w:val="006622A0"/>
    <w:rsid w:val="00662AF8"/>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C3563"/>
    <w:rsid w:val="007D3D41"/>
    <w:rsid w:val="00810D1C"/>
    <w:rsid w:val="0085252A"/>
    <w:rsid w:val="008603F7"/>
    <w:rsid w:val="0086163E"/>
    <w:rsid w:val="00880CCF"/>
    <w:rsid w:val="00890F49"/>
    <w:rsid w:val="008A4028"/>
    <w:rsid w:val="008B4421"/>
    <w:rsid w:val="008C283F"/>
    <w:rsid w:val="008C44ED"/>
    <w:rsid w:val="008F4623"/>
    <w:rsid w:val="008F7C17"/>
    <w:rsid w:val="00916400"/>
    <w:rsid w:val="00921747"/>
    <w:rsid w:val="009307BD"/>
    <w:rsid w:val="00940686"/>
    <w:rsid w:val="00967EE9"/>
    <w:rsid w:val="00974CC7"/>
    <w:rsid w:val="00990FA0"/>
    <w:rsid w:val="009921B8"/>
    <w:rsid w:val="00996930"/>
    <w:rsid w:val="009C598E"/>
    <w:rsid w:val="009D49CD"/>
    <w:rsid w:val="009E0177"/>
    <w:rsid w:val="009E5735"/>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BE43B5"/>
    <w:rsid w:val="00C10FFF"/>
    <w:rsid w:val="00C24C25"/>
    <w:rsid w:val="00C36DA0"/>
    <w:rsid w:val="00C46B21"/>
    <w:rsid w:val="00C5434A"/>
    <w:rsid w:val="00C61E60"/>
    <w:rsid w:val="00C818FC"/>
    <w:rsid w:val="00C873AD"/>
    <w:rsid w:val="00CB5212"/>
    <w:rsid w:val="00CC20B4"/>
    <w:rsid w:val="00CF7227"/>
    <w:rsid w:val="00D06532"/>
    <w:rsid w:val="00D17676"/>
    <w:rsid w:val="00D25EC9"/>
    <w:rsid w:val="00D31D20"/>
    <w:rsid w:val="00D52A26"/>
    <w:rsid w:val="00D7780C"/>
    <w:rsid w:val="00DA017F"/>
    <w:rsid w:val="00DB17A9"/>
    <w:rsid w:val="00DB7780"/>
    <w:rsid w:val="00DC7910"/>
    <w:rsid w:val="00DE7B82"/>
    <w:rsid w:val="00E05DC1"/>
    <w:rsid w:val="00E0733B"/>
    <w:rsid w:val="00E17E06"/>
    <w:rsid w:val="00E34DFC"/>
    <w:rsid w:val="00E42262"/>
    <w:rsid w:val="00E44F8C"/>
    <w:rsid w:val="00E45560"/>
    <w:rsid w:val="00EA73D7"/>
    <w:rsid w:val="00EB46CB"/>
    <w:rsid w:val="00EB4D6C"/>
    <w:rsid w:val="00EC0C0A"/>
    <w:rsid w:val="00EC6E22"/>
    <w:rsid w:val="00EF564B"/>
    <w:rsid w:val="00EF5D3D"/>
    <w:rsid w:val="00F25395"/>
    <w:rsid w:val="00F33B9D"/>
    <w:rsid w:val="00F42D40"/>
    <w:rsid w:val="00F47AF1"/>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character" w:customStyle="1" w:styleId="a-size-large">
    <w:name w:val="a-size-large"/>
    <w:basedOn w:val="Fuentedeprrafopredeter"/>
    <w:rsid w:val="00E1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C502-9968-403B-A727-759F0E31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2024-04-04T15:50:00Z</cp:lastPrinted>
  <dcterms:created xsi:type="dcterms:W3CDTF">2024-04-16T17:24:00Z</dcterms:created>
  <dcterms:modified xsi:type="dcterms:W3CDTF">2024-04-17T19:29:00Z</dcterms:modified>
</cp:coreProperties>
</file>