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CONVOCATORIA OPD/IAJ/SC/013/2026 ADQUISICIÓN DE SERVICIO INTEGRAL PARA “EVENTOS DE ACTIVIDADES DE FOMENTO A LA RECREACIÓN, DEPORTE Y CULTURA” DEL INSTITUTO DE ALTERNATIVAS PARA LOS JÓVENES DEL MUNICIPIO DE TLAJOMULCO DE ZÚÑIGA, JALISCO (INDAJO) (ACORTADA). </w:t>
      </w:r>
    </w:p>
    <w:p w:rsidR="00000000" w:rsidDel="00000000" w:rsidP="00000000" w:rsidRDefault="00000000" w:rsidRPr="00000000" w14:paraId="00000002">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Kanit" w:cs="Kanit" w:eastAsia="Kanit" w:hAnsi="Kanit"/>
          <w:sz w:val="18"/>
          <w:szCs w:val="18"/>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Kanit" w:cs="Kanit" w:eastAsia="Kanit" w:hAnsi="Kanit"/>
                <w:sz w:val="18"/>
                <w:szCs w:val="18"/>
              </w:rPr>
            </w:pPr>
            <w:r w:rsidDel="00000000" w:rsidR="00000000" w:rsidRPr="00000000">
              <w:rPr>
                <w:rFonts w:ascii="Kanit" w:cs="Kanit" w:eastAsia="Kanit" w:hAnsi="Kanit"/>
                <w:sz w:val="18"/>
                <w:szCs w:val="18"/>
                <w:rtl w:val="0"/>
              </w:rPr>
              <w:t xml:space="preserve">Origen de los Recursos </w:t>
            </w:r>
          </w:p>
        </w:tc>
        <w:tc>
          <w:tcPr/>
          <w:p w:rsidR="00000000" w:rsidDel="00000000" w:rsidP="00000000" w:rsidRDefault="00000000" w:rsidRPr="00000000" w14:paraId="00000006">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Municipal </w:t>
            </w:r>
          </w:p>
        </w:tc>
      </w:tr>
      <w:tr>
        <w:trPr>
          <w:cantSplit w:val="0"/>
          <w:tblHeader w:val="0"/>
        </w:trPr>
        <w:tc>
          <w:tcPr/>
          <w:p w:rsidR="00000000" w:rsidDel="00000000" w:rsidP="00000000" w:rsidRDefault="00000000" w:rsidRPr="00000000" w14:paraId="00000007">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Carácter de la Licitación </w:t>
            </w:r>
          </w:p>
        </w:tc>
        <w:tc>
          <w:tcPr/>
          <w:p w:rsidR="00000000" w:rsidDel="00000000" w:rsidP="00000000" w:rsidRDefault="00000000" w:rsidRPr="00000000" w14:paraId="00000008">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Local</w:t>
            </w:r>
          </w:p>
        </w:tc>
      </w:tr>
      <w:tr>
        <w:trPr>
          <w:cantSplit w:val="0"/>
          <w:tblHeader w:val="0"/>
        </w:trPr>
        <w:tc>
          <w:tcPr/>
          <w:p w:rsidR="00000000" w:rsidDel="00000000" w:rsidP="00000000" w:rsidRDefault="00000000" w:rsidRPr="00000000" w14:paraId="00000009">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Ejercicio Fiscal que abarca la Contratación </w:t>
            </w:r>
          </w:p>
        </w:tc>
        <w:tc>
          <w:tcPr/>
          <w:p w:rsidR="00000000" w:rsidDel="00000000" w:rsidP="00000000" w:rsidRDefault="00000000" w:rsidRPr="00000000" w14:paraId="0000000A">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2026</w:t>
            </w:r>
          </w:p>
        </w:tc>
      </w:tr>
      <w:tr>
        <w:trPr>
          <w:cantSplit w:val="0"/>
          <w:tblHeader w:val="0"/>
        </w:trPr>
        <w:tc>
          <w:tcPr/>
          <w:p w:rsidR="00000000" w:rsidDel="00000000" w:rsidP="00000000" w:rsidRDefault="00000000" w:rsidRPr="00000000" w14:paraId="0000000B">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Tipo de Contrato o Pedido(Orden de Compra)</w:t>
            </w:r>
          </w:p>
        </w:tc>
        <w:tc>
          <w:tcPr/>
          <w:p w:rsidR="00000000" w:rsidDel="00000000" w:rsidP="00000000" w:rsidRDefault="00000000" w:rsidRPr="00000000" w14:paraId="0000000C">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Cerrado</w:t>
            </w:r>
          </w:p>
        </w:tc>
      </w:tr>
      <w:tr>
        <w:trPr>
          <w:cantSplit w:val="0"/>
          <w:tblHeader w:val="0"/>
        </w:trPr>
        <w:tc>
          <w:tcPr/>
          <w:p w:rsidR="00000000" w:rsidDel="00000000" w:rsidP="00000000" w:rsidRDefault="00000000" w:rsidRPr="00000000" w14:paraId="0000000D">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Adjudicación de los Bienes o Servicios </w:t>
            </w:r>
          </w:p>
        </w:tc>
        <w:tc>
          <w:tcPr/>
          <w:p w:rsidR="00000000" w:rsidDel="00000000" w:rsidP="00000000" w:rsidRDefault="00000000" w:rsidRPr="00000000" w14:paraId="0000000E">
            <w:pPr>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3821</w:t>
            </w:r>
          </w:p>
        </w:tc>
      </w:tr>
      <w:tr>
        <w:trPr>
          <w:cantSplit w:val="0"/>
          <w:tblHeader w:val="0"/>
        </w:trPr>
        <w:tc>
          <w:tcPr/>
          <w:p w:rsidR="00000000" w:rsidDel="00000000" w:rsidP="00000000" w:rsidRDefault="00000000" w:rsidRPr="00000000" w14:paraId="00000011">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Criterio de evaluación de propuestas </w:t>
            </w:r>
          </w:p>
        </w:tc>
        <w:tc>
          <w:tcPr/>
          <w:p w:rsidR="00000000" w:rsidDel="00000000" w:rsidP="00000000" w:rsidRDefault="00000000" w:rsidRPr="00000000" w14:paraId="00000012">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Binario</w:t>
            </w:r>
          </w:p>
        </w:tc>
      </w:tr>
      <w:tr>
        <w:trPr>
          <w:cantSplit w:val="0"/>
          <w:tblHeader w:val="0"/>
        </w:trPr>
        <w:tc>
          <w:tcPr/>
          <w:p w:rsidR="00000000" w:rsidDel="00000000" w:rsidP="00000000" w:rsidRDefault="00000000" w:rsidRPr="00000000" w14:paraId="00000013">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w:t>
            </w:r>
          </w:p>
        </w:tc>
        <w:tc>
          <w:tcPr/>
          <w:p w:rsidR="00000000" w:rsidDel="00000000" w:rsidP="00000000" w:rsidRDefault="00000000" w:rsidRPr="00000000" w14:paraId="00000014">
            <w:pPr>
              <w:spacing w:after="20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 05 de junio de 2026</w:t>
            </w:r>
          </w:p>
        </w:tc>
      </w:tr>
      <w:tr>
        <w:trPr>
          <w:cantSplit w:val="0"/>
          <w:trHeight w:val="434" w:hRule="atLeast"/>
          <w:tblHeader w:val="0"/>
        </w:trPr>
        <w:tc>
          <w:tcPr/>
          <w:p w:rsidR="00000000" w:rsidDel="00000000" w:rsidP="00000000" w:rsidRDefault="00000000" w:rsidRPr="00000000" w14:paraId="00000015">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Aclaraciones</w:t>
            </w:r>
          </w:p>
        </w:tc>
        <w:tc>
          <w:tcPr/>
          <w:p w:rsidR="00000000" w:rsidDel="00000000" w:rsidP="00000000" w:rsidRDefault="00000000" w:rsidRPr="00000000" w14:paraId="00000016">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Al teléfono 01 (33) 32834400 Ext. 3251 o al correo electrónico:</w:t>
            </w:r>
          </w:p>
          <w:p w:rsidR="00000000" w:rsidDel="00000000" w:rsidP="00000000" w:rsidRDefault="00000000" w:rsidRPr="00000000" w14:paraId="00000017">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color w:val="323130"/>
                <w:sz w:val="18"/>
                <w:szCs w:val="18"/>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10 de</w:t>
            </w:r>
            <w:r w:rsidDel="00000000" w:rsidR="00000000" w:rsidRPr="00000000">
              <w:rPr>
                <w:rFonts w:ascii="Kanit" w:cs="Kanit" w:eastAsia="Kanit" w:hAnsi="Kanit"/>
                <w:b w:val="1"/>
                <w:bCs w:val="1"/>
                <w:color w:val="000000"/>
                <w:sz w:val="18"/>
                <w:szCs w:val="18"/>
                <w:rtl w:val="0"/>
              </w:rPr>
              <w:t xml:space="preserve"> </w:t>
            </w:r>
            <w:r w:rsidDel="00000000" w:rsidR="00000000" w:rsidRPr="00000000">
              <w:rPr>
                <w:rFonts w:ascii="Kanit" w:cs="Kanit" w:eastAsia="Kanit" w:hAnsi="Kanit"/>
                <w:b w:val="1"/>
                <w:bCs w:val="1"/>
                <w:sz w:val="18"/>
                <w:szCs w:val="18"/>
                <w:rtl w:val="0"/>
              </w:rPr>
              <w:t xml:space="preserve">junio</w:t>
            </w:r>
            <w:r w:rsidDel="00000000" w:rsidR="00000000" w:rsidRPr="00000000">
              <w:rPr>
                <w:rFonts w:ascii="Kanit" w:cs="Kanit" w:eastAsia="Kanit" w:hAnsi="Kanit"/>
                <w:b w:val="1"/>
                <w:bCs w:val="1"/>
                <w:color w:val="000000"/>
                <w:sz w:val="18"/>
                <w:szCs w:val="18"/>
                <w:rtl w:val="0"/>
              </w:rPr>
              <w:t xml:space="preserve"> d</w:t>
            </w:r>
            <w:r w:rsidDel="00000000" w:rsidR="00000000" w:rsidRPr="00000000">
              <w:rPr>
                <w:rFonts w:ascii="Kanit" w:cs="Kanit" w:eastAsia="Kanit" w:hAnsi="Kanit"/>
                <w:b w:val="1"/>
                <w:bCs w:val="1"/>
                <w:sz w:val="18"/>
                <w:szCs w:val="18"/>
                <w:rtl w:val="0"/>
              </w:rPr>
              <w:t xml:space="preserve">e</w:t>
            </w:r>
            <w:r w:rsidDel="00000000" w:rsidR="00000000" w:rsidRPr="00000000">
              <w:rPr>
                <w:rFonts w:ascii="Kanit" w:cs="Kanit" w:eastAsia="Kanit" w:hAnsi="Kanit"/>
                <w:b w:val="1"/>
                <w:bCs w:val="1"/>
                <w:color w:val="000000"/>
                <w:sz w:val="18"/>
                <w:szCs w:val="18"/>
                <w:rtl w:val="0"/>
              </w:rPr>
              <w:t xml:space="preserv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10 </w:t>
            </w:r>
            <w:r w:rsidDel="00000000" w:rsidR="00000000" w:rsidRPr="00000000">
              <w:rPr>
                <w:rFonts w:ascii="Kanit" w:cs="Kanit" w:eastAsia="Kanit" w:hAnsi="Kanit"/>
                <w:b w:val="1"/>
                <w:bCs w:val="1"/>
                <w:color w:val="000000"/>
                <w:sz w:val="18"/>
                <w:szCs w:val="18"/>
                <w:rtl w:val="0"/>
              </w:rPr>
              <w:t xml:space="preserve">de </w:t>
            </w:r>
            <w:r w:rsidDel="00000000" w:rsidR="00000000" w:rsidRPr="00000000">
              <w:rPr>
                <w:rFonts w:ascii="Kanit" w:cs="Kanit" w:eastAsia="Kanit" w:hAnsi="Kanit"/>
                <w:b w:val="1"/>
                <w:bCs w:val="1"/>
                <w:sz w:val="18"/>
                <w:szCs w:val="18"/>
                <w:rtl w:val="0"/>
              </w:rPr>
              <w:t xml:space="preserve">junio </w:t>
            </w:r>
            <w:r w:rsidDel="00000000" w:rsidR="00000000" w:rsidRPr="00000000">
              <w:rPr>
                <w:rFonts w:ascii="Kanit" w:cs="Kanit" w:eastAsia="Kanit" w:hAnsi="Kanit"/>
                <w:b w:val="1"/>
                <w:bCs w:val="1"/>
                <w:color w:val="000000"/>
                <w:sz w:val="18"/>
                <w:szCs w:val="18"/>
                <w:rtl w:val="0"/>
              </w:rPr>
              <w:t xml:space="preserve">de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 de Fallo </w:t>
            </w:r>
          </w:p>
        </w:tc>
        <w:tc>
          <w:tcPr/>
          <w:p w:rsidR="00000000" w:rsidDel="00000000" w:rsidP="00000000" w:rsidRDefault="00000000" w:rsidRPr="00000000" w14:paraId="0000001D">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Kanit" w:cs="Kanit" w:eastAsia="Kanit" w:hAnsi="Kanit"/>
                <w:sz w:val="18"/>
                <w:szCs w:val="18"/>
              </w:rPr>
            </w:pPr>
            <w:r w:rsidDel="00000000" w:rsidR="00000000" w:rsidRPr="00000000">
              <w:rPr>
                <w:rFonts w:ascii="Kanit" w:cs="Kanit" w:eastAsia="Kanit" w:hAnsi="Kanit"/>
                <w:sz w:val="18"/>
                <w:szCs w:val="18"/>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1">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2">
      <w:pPr>
        <w:spacing w:after="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BASES</w:t>
      </w:r>
    </w:p>
    <w:sdt>
      <w:sdtPr>
        <w:lock w:val="contentLocked"/>
        <w:id w:val="1000096680"/>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1"/>
                  <w:spacing w:after="0" w:before="0" w:lineRule="auto"/>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UN SERVICIO INTEGRAL DE ORGANIZACIÓN, PRODUCCIÓN, SUMINISTRO, INSTALACIÓN, OPERACIÓN Y DESMONTAJE PARA LA REALIZACIÓN DE EVENTOS DE ACTIVIDADES DE FOMENTO A LA RECREACIÓN, DEPORTE Y CULTURA, DIRIGIDOS A LAS JUVENTUDES DEL MUNICIPIO DE TLAJOMULCO DE ZÚÑIGA, JALISCO, EL CUAL DEBERÁ INCLUIR COMO MÍNIMO:</w:t>
                </w:r>
              </w:p>
              <w:p w:rsidR="00000000" w:rsidDel="00000000" w:rsidP="00000000" w:rsidRDefault="00000000" w:rsidRPr="00000000" w14:paraId="00000043">
                <w:pPr>
                  <w:widowControl w:val="1"/>
                  <w:spacing w:after="0" w:before="0" w:lineRule="auto"/>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44">
                <w:pPr>
                  <w:widowControl w:val="1"/>
                  <w:spacing w:after="0" w:before="0" w:lineRule="auto"/>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Juegos gigantes recreativos</w:t>
                </w:r>
              </w:p>
              <w:p w:rsidR="00000000" w:rsidDel="00000000" w:rsidP="00000000" w:rsidRDefault="00000000" w:rsidRPr="00000000" w14:paraId="00000045">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proporcionar el servicio integral de actividades recreativas, lúdicas e integradoras dirigidas a las juventudes asistentes al evento, con el objetivo de promover la convivencia, la participación activa, el trabajo en equipo, la recreación sana y la interacción social.</w:t>
                </w:r>
              </w:p>
              <w:p w:rsidR="00000000" w:rsidDel="00000000" w:rsidP="00000000" w:rsidRDefault="00000000" w:rsidRPr="00000000" w14:paraId="00000046">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47">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proveedor deberá suministrar, instalar, operar y retirar una cantidad minima de 4 estaciones recreativas que permitan la participación simultánea de los asistentes, considerando dinámicas de habilidad, coordinación, estrategia, destreza, precisión, integración grupal y entretenimiento.</w:t>
                </w:r>
              </w:p>
              <w:p w:rsidR="00000000" w:rsidDel="00000000" w:rsidP="00000000" w:rsidRDefault="00000000" w:rsidRPr="00000000" w14:paraId="00000048">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49">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Las actividades deberán ser inclusivas, seguras y adecuadas para personas jóvenes, procurando la participación de distintos grupos de asistentes durante el desarrollo del evento.</w:t>
                </w:r>
              </w:p>
              <w:p w:rsidR="00000000" w:rsidDel="00000000" w:rsidP="00000000" w:rsidRDefault="00000000" w:rsidRPr="00000000" w14:paraId="0000004A">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4B">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Todos los equipos, estructuras y materiales utilizados deberán encontrarse en óptimas condiciones de funcionamiento, ser de primera calidad, libres de defectos y adecuados para uso institucional, garantizando en todo momento la seguridad de los participantes.</w:t>
                </w:r>
              </w:p>
              <w:p w:rsidR="00000000" w:rsidDel="00000000" w:rsidP="00000000" w:rsidRDefault="00000000" w:rsidRPr="00000000" w14:paraId="0000004C">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4D">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b w:val="1"/>
                    <w:bCs w:val="1"/>
                    <w:sz w:val="14"/>
                    <w:szCs w:val="14"/>
                    <w:rtl w:val="0"/>
                  </w:rPr>
                  <w:t xml:space="preserve">Lona institucional tipo back</w:t>
                  <w:br w:type="textWrapping"/>
                </w:r>
                <w:r w:rsidDel="00000000" w:rsidR="00000000" w:rsidRPr="00000000">
                  <w:rPr>
                    <w:rFonts w:ascii="Kanit" w:cs="Kanit" w:eastAsia="Kanit" w:hAnsi="Kanit"/>
                    <w:sz w:val="14"/>
                    <w:szCs w:val="14"/>
                    <w:rtl w:val="0"/>
                  </w:rPr>
                  <w:t xml:space="preserve">Se deberá producir y suministrar una lona institucional tipo back, con diseño personalizado previamente aprobado por el Instituto.</w:t>
                </w:r>
              </w:p>
              <w:p w:rsidR="00000000" w:rsidDel="00000000" w:rsidP="00000000" w:rsidRDefault="00000000" w:rsidRPr="00000000" w14:paraId="0000004E">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La lona deberá contar con medidas mínimas de 3.00 metros de ancho por 2.22 metros de alto, impresión en alta resolución y sistema de fijación adecuado para su correcta instalación.</w:t>
                </w:r>
              </w:p>
              <w:p w:rsidR="00000000" w:rsidDel="00000000" w:rsidP="00000000" w:rsidRDefault="00000000" w:rsidRPr="00000000" w14:paraId="0000004F">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material deberá ser resistente, con impresión nítida, de primera calidad y libre de defectos.</w:t>
                </w:r>
              </w:p>
              <w:p w:rsidR="00000000" w:rsidDel="00000000" w:rsidP="00000000" w:rsidRDefault="00000000" w:rsidRPr="00000000" w14:paraId="00000050">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51">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b w:val="1"/>
                    <w:bCs w:val="1"/>
                    <w:sz w:val="14"/>
                    <w:szCs w:val="14"/>
                    <w:rtl w:val="0"/>
                  </w:rPr>
                  <w:t xml:space="preserve">Banners institucionales</w:t>
                  <w:br w:type="textWrapping"/>
                </w:r>
                <w:r w:rsidDel="00000000" w:rsidR="00000000" w:rsidRPr="00000000">
                  <w:rPr>
                    <w:rFonts w:ascii="Kanit" w:cs="Kanit" w:eastAsia="Kanit" w:hAnsi="Kanit"/>
                    <w:sz w:val="14"/>
                    <w:szCs w:val="14"/>
                    <w:rtl w:val="0"/>
                  </w:rPr>
                  <w:t xml:space="preserve">Se deberán suministrar dos banners institucionales con diseño previamente aprobado, impresos en alta calidad, con estructuras o soportes que permitan su correcta exhibición durante el evento.</w:t>
                </w:r>
              </w:p>
              <w:p w:rsidR="00000000" w:rsidDel="00000000" w:rsidP="00000000" w:rsidRDefault="00000000" w:rsidRPr="00000000" w14:paraId="00000052">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Los materiales deberán ser resistentes, funcionales y adecuados para uso institucional.</w:t>
                </w:r>
              </w:p>
              <w:p w:rsidR="00000000" w:rsidDel="00000000" w:rsidP="00000000" w:rsidRDefault="00000000" w:rsidRPr="00000000" w14:paraId="00000053">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54">
                <w:pPr>
                  <w:widowControl w:val="1"/>
                  <w:spacing w:after="0" w:before="0" w:lineRule="auto"/>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Renta de toldo y stand con mobiliario para el desarrollo de actividades</w:t>
                </w:r>
              </w:p>
              <w:p w:rsidR="00000000" w:rsidDel="00000000" w:rsidP="00000000" w:rsidRDefault="00000000" w:rsidRPr="00000000" w14:paraId="00000055">
                <w:pPr>
                  <w:widowControl w:val="1"/>
                  <w:spacing w:after="0" w:before="0" w:lineRule="auto"/>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56">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proporcionar el suministro, instalación, operación y retiro de toldo y stand destinados al desarrollo de actividades de atención, información, registro, promoción institucional y vinculación con las juventudes participantes.</w:t>
                </w:r>
              </w:p>
              <w:p w:rsidR="00000000" w:rsidDel="00000000" w:rsidP="00000000" w:rsidRDefault="00000000" w:rsidRPr="00000000" w14:paraId="00000057">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58">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toldo deberá contar con dimensiones mínimas de 3.00 metros por 3.00 metros, estructura resistente y sistema de anclaje que garantice estabilidad y seguridad durante toda la duración del evento.</w:t>
                </w:r>
              </w:p>
              <w:p w:rsidR="00000000" w:rsidDel="00000000" w:rsidP="00000000" w:rsidRDefault="00000000" w:rsidRPr="00000000" w14:paraId="00000059">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5A">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stand deberá incluir el mobiliario necesario para su correcta operación, considerando como mínimo una mesa de trabajo y dos sillas por módulo, así como los elementos complementarios requeridos para la adecuada atención de los asistentes.</w:t>
                </w:r>
              </w:p>
              <w:p w:rsidR="00000000" w:rsidDel="00000000" w:rsidP="00000000" w:rsidRDefault="00000000" w:rsidRPr="00000000" w14:paraId="0000005B">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5C">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Todos los materiales y equipos deberán encontrarse en óptimas condiciones, limpios, libres de defectos, ser de primera calidad y adecuados para uso institucional.</w:t>
                </w:r>
              </w:p>
              <w:p w:rsidR="00000000" w:rsidDel="00000000" w:rsidP="00000000" w:rsidRDefault="00000000" w:rsidRPr="00000000" w14:paraId="0000005D">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5E">
                <w:pPr>
                  <w:widowControl w:val="1"/>
                  <w:spacing w:after="0" w:before="0" w:lineRule="auto"/>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Playeras institucionales personalizadas</w:t>
                </w:r>
              </w:p>
              <w:p w:rsidR="00000000" w:rsidDel="00000000" w:rsidP="00000000" w:rsidRDefault="00000000" w:rsidRPr="00000000" w14:paraId="0000005F">
                <w:pPr>
                  <w:widowControl w:val="1"/>
                  <w:spacing w:after="0" w:before="0" w:lineRule="auto"/>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0">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suministrar un total de 300 playeras personalizadas de alta calidad, confeccionadas en tela 100% algodón, con características adecuadas para uso frecuente y actividades al aire libre.</w:t>
                </w:r>
              </w:p>
              <w:p w:rsidR="00000000" w:rsidDel="00000000" w:rsidP="00000000" w:rsidRDefault="00000000" w:rsidRPr="00000000" w14:paraId="00000061">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62">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Las playeras deberán contar con grabado mediante tecnología DTF, serigrafía, bordado o método equivalente de alta resistencia, incorporando el diseño institucional previamente autorizado por el Instituto.</w:t>
                </w:r>
              </w:p>
              <w:p w:rsidR="00000000" w:rsidDel="00000000" w:rsidP="00000000" w:rsidRDefault="00000000" w:rsidRPr="00000000" w14:paraId="00000063">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64">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Las prendas deberán entregarse en tallas variadas conforme a las necesidades del Instituto, con acabados de calidad, costuras reforzadas, impresión nítida y uniforme, libres de defectos de fabricación y adecuadas para uso institucional.</w:t>
                </w:r>
              </w:p>
              <w:p w:rsidR="00000000" w:rsidDel="00000000" w:rsidP="00000000" w:rsidRDefault="00000000" w:rsidRPr="00000000" w14:paraId="00000065">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Bolsas institucionales personalizadas.</w:t>
                </w:r>
              </w:p>
              <w:p w:rsidR="00000000" w:rsidDel="00000000" w:rsidP="00000000" w:rsidRDefault="00000000" w:rsidRPr="00000000" w14:paraId="00000066">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67">
                <w:pPr>
                  <w:widowControl w:val="1"/>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Bolsas termoselladas personalizadas</w:t>
                </w:r>
              </w:p>
              <w:p w:rsidR="00000000" w:rsidDel="00000000" w:rsidP="00000000" w:rsidRDefault="00000000" w:rsidRPr="00000000" w14:paraId="00000068">
                <w:pPr>
                  <w:widowControl w:val="1"/>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9">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suministrar un total de 300 bolsas termoselladas personalizadas con identidad institucional.</w:t>
                </w:r>
              </w:p>
              <w:p w:rsidR="00000000" w:rsidDel="00000000" w:rsidP="00000000" w:rsidRDefault="00000000" w:rsidRPr="00000000" w14:paraId="0000006A">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6B">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Las bolsas deberán contar con medidas mínimas de 35 x 37 centímetros, elaboradas con materiales resistentes y adecuados para su uso durante actividades de promoción, difusión y participación ciudadana.</w:t>
                </w:r>
              </w:p>
              <w:p w:rsidR="00000000" w:rsidDel="00000000" w:rsidP="00000000" w:rsidRDefault="00000000" w:rsidRPr="00000000" w14:paraId="0000006C">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La impresión deberá incorporar los elementos gráficos autorizados por el Instituto, garantizando alta calidad, resistencia al uso y una adecuada presentación institucional.</w:t>
                </w:r>
              </w:p>
              <w:p w:rsidR="00000000" w:rsidDel="00000000" w:rsidP="00000000" w:rsidRDefault="00000000" w:rsidRPr="00000000" w14:paraId="0000006D">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6E">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Todos los productos deberán entregarse nuevos, libres de defectos y elaborados con materiales de primera calidad.</w:t>
                </w:r>
              </w:p>
              <w:p w:rsidR="00000000" w:rsidDel="00000000" w:rsidP="00000000" w:rsidRDefault="00000000" w:rsidRPr="00000000" w14:paraId="0000006F">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70">
                <w:pPr>
                  <w:widowControl w:val="1"/>
                  <w:spacing w:after="0" w:before="0" w:lineRule="auto"/>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Cilindros institucionales personalizados</w:t>
                </w:r>
              </w:p>
              <w:p w:rsidR="00000000" w:rsidDel="00000000" w:rsidP="00000000" w:rsidRDefault="00000000" w:rsidRPr="00000000" w14:paraId="00000071">
                <w:pPr>
                  <w:widowControl w:val="1"/>
                  <w:spacing w:after="0" w:before="0" w:lineRule="auto"/>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2">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Se deberá suministrar un total de 300 cilindros reutilizables color azul transparente, elaborados con materiales resistentes y adecuados para uso cotidiano.</w:t>
                </w:r>
              </w:p>
              <w:p w:rsidR="00000000" w:rsidDel="00000000" w:rsidP="00000000" w:rsidRDefault="00000000" w:rsidRPr="00000000" w14:paraId="00000073">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74">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Cada cilindro deberá incorporar el logotipo institucional del Instituto de Alternativas para los Jóvenes mediante impresión o grabado de alta calidad y durabilidad.</w:t>
                </w:r>
              </w:p>
              <w:p w:rsidR="00000000" w:rsidDel="00000000" w:rsidP="00000000" w:rsidRDefault="00000000" w:rsidRPr="00000000" w14:paraId="00000075">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76">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Los cilindros deberán entregarse en óptimas condiciones, libres de defectos de fabricación, con una presentación uniforme y adecuada para actividades institucionales, de promoción y participación juvenil.</w:t>
                </w:r>
              </w:p>
              <w:p w:rsidR="00000000" w:rsidDel="00000000" w:rsidP="00000000" w:rsidRDefault="00000000" w:rsidRPr="00000000" w14:paraId="00000077">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78">
                <w:pPr>
                  <w:widowControl w:val="1"/>
                  <w:spacing w:after="0" w:before="0" w:lineRule="auto"/>
                  <w:jc w:val="both"/>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Condiciones generales del servicio</w:t>
                </w:r>
              </w:p>
              <w:p w:rsidR="00000000" w:rsidDel="00000000" w:rsidP="00000000" w:rsidRDefault="00000000" w:rsidRPr="00000000" w14:paraId="00000079">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El proveedor deberá garantizar la prestación integral del servicio, incluyendo transporte, carga, descarga, instalación, operación, supervisión, retiro y entrega de todos los bienes y elementos requeridos.</w:t>
                </w:r>
              </w:p>
              <w:p w:rsidR="00000000" w:rsidDel="00000000" w:rsidP="00000000" w:rsidRDefault="00000000" w:rsidRPr="00000000" w14:paraId="0000007A">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7B">
                <w:pPr>
                  <w:widowControl w:val="1"/>
                  <w:spacing w:after="0" w:before="0" w:lineRule="auto"/>
                  <w:jc w:val="both"/>
                  <w:rPr>
                    <w:rFonts w:ascii="Kanit" w:cs="Kanit" w:eastAsia="Kanit" w:hAnsi="Kanit"/>
                    <w:sz w:val="14"/>
                    <w:szCs w:val="14"/>
                  </w:rPr>
                </w:pPr>
                <w:r w:rsidDel="00000000" w:rsidR="00000000" w:rsidRPr="00000000">
                  <w:rPr>
                    <w:rFonts w:ascii="Kanit" w:cs="Kanit" w:eastAsia="Kanit" w:hAnsi="Kanit"/>
                    <w:sz w:val="14"/>
                    <w:szCs w:val="14"/>
                    <w:rtl w:val="0"/>
                  </w:rPr>
                  <w:t xml:space="preserve">La ejecución del servicio deberá realizarse todos los dias durante el periodo del 11 de junio de 2026 al 19 de julio de 2026, en la Plaza Principal de Tlajomulco Centro, ubicada en el municipio de Tlajomulco de Zúñiga, Jalisco, en las fechas y horarios que determine el Instituto.</w:t>
                </w:r>
              </w:p>
              <w:p w:rsidR="00000000" w:rsidDel="00000000" w:rsidP="00000000" w:rsidRDefault="00000000" w:rsidRPr="00000000" w14:paraId="0000007C">
                <w:pPr>
                  <w:widowControl w:val="1"/>
                  <w:spacing w:after="0" w:before="0" w:lineRule="auto"/>
                  <w:jc w:val="both"/>
                  <w:rPr>
                    <w:rFonts w:ascii="Kanit" w:cs="Kanit" w:eastAsia="Kanit" w:hAnsi="Kanit"/>
                    <w:sz w:val="14"/>
                    <w:szCs w:val="14"/>
                  </w:rPr>
                </w:pPr>
                <w:r w:rsidDel="00000000" w:rsidR="00000000" w:rsidRPr="00000000">
                  <w:rPr>
                    <w:rtl w:val="0"/>
                  </w:rPr>
                </w:r>
              </w:p>
              <w:p w:rsidR="00000000" w:rsidDel="00000000" w:rsidP="00000000" w:rsidRDefault="00000000" w:rsidRPr="00000000" w14:paraId="0000007D">
                <w:pPr>
                  <w:widowControl w:val="1"/>
                  <w:spacing w:after="0" w:before="0" w:lineRule="auto"/>
                  <w:jc w:val="both"/>
                  <w:rPr>
                    <w:rFonts w:ascii="Kanit" w:cs="Kanit" w:eastAsia="Kanit" w:hAnsi="Kanit"/>
                    <w:b w:val="1"/>
                    <w:bCs w:val="1"/>
                    <w:sz w:val="14"/>
                    <w:szCs w:val="14"/>
                  </w:rPr>
                </w:pPr>
                <w:r w:rsidDel="00000000" w:rsidR="00000000" w:rsidRPr="00000000">
                  <w:rPr>
                    <w:rFonts w:ascii="Kanit" w:cs="Kanit" w:eastAsia="Kanit" w:hAnsi="Kanit"/>
                    <w:sz w:val="14"/>
                    <w:szCs w:val="14"/>
                    <w:rtl w:val="0"/>
                  </w:rPr>
                  <w:t xml:space="preserve">Todos los bienes, materiales y servicios deberán ser de primera calidad, libres de defectos, adecuados para uso institucional y cumplir con las especificaciones previamente autorizadas por el Instituto.</w:t>
                </w:r>
                <w:r w:rsidDel="00000000" w:rsidR="00000000" w:rsidRPr="00000000">
                  <w:rPr>
                    <w:rtl w:val="0"/>
                  </w:rPr>
                </w:r>
              </w:p>
            </w:tc>
            <w:tc>
              <w:tcPr>
                <w:shd w:fill="auto" w:val="clear"/>
                <w:vAlign w:val="center"/>
              </w:tcPr>
              <w:p w:rsidR="00000000" w:rsidDel="00000000" w:rsidP="00000000" w:rsidRDefault="00000000" w:rsidRPr="00000000" w14:paraId="0000007E">
                <w:pPr>
                  <w:widowControl w:val="1"/>
                  <w:jc w:val="center"/>
                  <w:rPr>
                    <w:rFonts w:ascii="Kanit" w:cs="Kanit" w:eastAsia="Kanit" w:hAnsi="Kanit"/>
                    <w:sz w:val="16"/>
                    <w:szCs w:val="16"/>
                  </w:rPr>
                </w:pPr>
                <w:r w:rsidDel="00000000" w:rsidR="00000000" w:rsidRPr="00000000">
                  <w:rPr>
                    <w:rFonts w:ascii="Kanit" w:cs="Kanit" w:eastAsia="Kanit" w:hAnsi="Kanit"/>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0">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1">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2">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3">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4">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5">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6">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7">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8">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9">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A">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B">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C">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D">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E">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F">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0">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1">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2">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3">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4">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5">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6">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7">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8">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9">
                <w:pPr>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SERVICIO</w:t>
                </w:r>
              </w:p>
              <w:p w:rsidR="00000000" w:rsidDel="00000000" w:rsidP="00000000" w:rsidRDefault="00000000" w:rsidRPr="00000000" w14:paraId="0000009A">
                <w:pPr>
                  <w:jc w:val="center"/>
                  <w:rPr>
                    <w:rFonts w:ascii="Kanit" w:cs="Kanit" w:eastAsia="Kanit" w:hAnsi="Kanit"/>
                    <w:b w:val="1"/>
                    <w:bCs w:val="1"/>
                    <w:sz w:val="14"/>
                    <w:szCs w:val="14"/>
                  </w:rPr>
                </w:pPr>
                <w:r w:rsidDel="00000000" w:rsidR="00000000" w:rsidRPr="00000000">
                  <w:rPr>
                    <w:rtl w:val="0"/>
                  </w:rPr>
                </w:r>
              </w:p>
            </w:tc>
          </w:tr>
        </w:tbl>
      </w:sdtContent>
    </w:sdt>
    <w:p w:rsidR="00000000" w:rsidDel="00000000" w:rsidP="00000000" w:rsidRDefault="00000000" w:rsidRPr="00000000" w14:paraId="0000009B">
      <w:pPr>
        <w:spacing w:after="0" w:line="276" w:lineRule="auto"/>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9C">
      <w:pPr>
        <w:spacing w:after="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Nota: La presente licitación será adjudicada a un solo proveedor. Todas las partidas adjudicadas deberán ser entregadas posteriores a la entrega de la orden de compra, se requiere sean suministrados los servicios a partir de la adjudicación en el cual  deberá realizarse durante el periodo comprendido del 11 de junio de 2026 al 19 de julio de 2026. La compra de lo adjudicado no será mayor de acuerdo con el tope presupuestal del ejercicio en curso.</w:t>
      </w:r>
    </w:p>
    <w:p w:rsidR="00000000" w:rsidDel="00000000" w:rsidP="00000000" w:rsidRDefault="00000000" w:rsidRPr="00000000" w14:paraId="0000009D">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9E">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9F">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A0">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A1">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5.- El precio del bien o servicio objeto de la presente invitación, deberá estar especificado en moneda nacional, desglosando el I.V.A.</w:t>
      </w:r>
    </w:p>
    <w:p w:rsidR="00000000" w:rsidDel="00000000" w:rsidP="00000000" w:rsidRDefault="00000000" w:rsidRPr="00000000" w14:paraId="000000A2">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A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A4">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A5">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A6">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A7">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A8">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12.- La cotización solamente podrá ser considerada si es recibida dentro del término y condiciones establecidas.</w:t>
      </w:r>
    </w:p>
    <w:p w:rsidR="00000000" w:rsidDel="00000000" w:rsidP="00000000" w:rsidRDefault="00000000" w:rsidRPr="00000000" w14:paraId="000000A9">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AA">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AB">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AC">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AD">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w:t>
        <w:tab/>
        <w:t xml:space="preserve">Depósito en efectivo realizado a través de la Tesorería Municipal para tal efecto.</w:t>
      </w:r>
    </w:p>
    <w:p w:rsidR="00000000" w:rsidDel="00000000" w:rsidP="00000000" w:rsidRDefault="00000000" w:rsidRPr="00000000" w14:paraId="000000AE">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w:t>
        <w:tab/>
        <w:t xml:space="preserve">Cheque certificado.</w:t>
      </w:r>
    </w:p>
    <w:p w:rsidR="00000000" w:rsidDel="00000000" w:rsidP="00000000" w:rsidRDefault="00000000" w:rsidRPr="00000000" w14:paraId="000000AF">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w:t>
        <w:tab/>
        <w:t xml:space="preserve">Una fianza expedida por una institución legalmente establecida.</w:t>
      </w:r>
    </w:p>
    <w:p w:rsidR="00000000" w:rsidDel="00000000" w:rsidP="00000000" w:rsidRDefault="00000000" w:rsidRPr="00000000" w14:paraId="000000B0">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importe de la garantía será del 10% (diez por ciento) por cumplimiento del importe total de lo adjudicado l. V. A. incluido.</w:t>
      </w:r>
    </w:p>
    <w:p w:rsidR="00000000" w:rsidDel="00000000" w:rsidP="00000000" w:rsidRDefault="00000000" w:rsidRPr="00000000" w14:paraId="000000B1">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B2">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B3">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4">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5">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6">
      <w:pPr>
        <w:spacing w:after="0" w:line="24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TLAJOMULCO DE ZÚÑIGA, JALISCO </w:t>
      </w:r>
    </w:p>
    <w:p w:rsidR="00000000" w:rsidDel="00000000" w:rsidP="00000000" w:rsidRDefault="00000000" w:rsidRPr="00000000" w14:paraId="000000B7">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8">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9">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A">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B">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BC">
      <w:pPr>
        <w:spacing w:after="0" w:line="240"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Lic. Adrian Ruiz Rico </w:t>
      </w:r>
    </w:p>
    <w:p w:rsidR="00000000" w:rsidDel="00000000" w:rsidP="00000000" w:rsidRDefault="00000000" w:rsidRPr="00000000" w14:paraId="000000BD">
      <w:pPr>
        <w:spacing w:after="0" w:line="240" w:lineRule="auto"/>
        <w:jc w:val="center"/>
        <w:rPr>
          <w:rFonts w:ascii="Kanit" w:cs="Kanit" w:eastAsia="Kanit" w:hAnsi="Kanit"/>
          <w:sz w:val="18"/>
          <w:szCs w:val="18"/>
        </w:rPr>
      </w:pPr>
      <w:r w:rsidDel="00000000" w:rsidR="00000000" w:rsidRPr="00000000">
        <w:rPr>
          <w:rFonts w:ascii="Kanit" w:cs="Kanit" w:eastAsia="Kanit" w:hAnsi="Kanit"/>
          <w:b w:val="1"/>
          <w:bCs w:val="1"/>
          <w:sz w:val="18"/>
          <w:szCs w:val="18"/>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-380013</wp:posOffset>
          </wp:positionH>
          <wp:positionV relativeFrom="paragraph">
            <wp:posOffset>-85689</wp:posOffset>
          </wp:positionV>
          <wp:extent cx="6678134" cy="630598"/>
          <wp:effectExtent b="0" l="0" r="0" t="0"/>
          <wp:wrapNone/>
          <wp:docPr id="1"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BF">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2"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rHDhHeAL2EughPoHbt/H5BEQ==">CgMxLjAaHwoBMBIaChgICVIUChJ0YWJsZS5iZjUxOTZvNmltcDYyDmguYzhpenAzY2M1N2Q1OAByITFtTTBKSnlydGZ4cWxMUjlDMjhWLTRRU1ZkYVVsT1hKbw==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