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CONVOCATORIA OPD/IAJ/SC/011/2026 "ADQUISICIÓN DE SERVICIO INTEGRAL DE INTERVENCIONES ARTISTICAS PARA EL INSTITUTO DE ALTERNATIVAS PARA LOS JÓVENES DEL MUNICIPIO DE TLAJOMULCO DE ZÚÑIGA, JALISCO” (INDAJO) (ACORTADA).</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Cerrado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3821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04 de junio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09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junio</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09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junio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107938680"/>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SERVICIO INTEGRAL DE DISEÑO, PRODUCCIÓN Y EJECUCIÓN DE INTERVENCIONES ARTÍSTICAS PARA EL INSTITUTO DE ALTERNATIVAS PARA LOS JÓVENES DEL MUNICIPIO DE TLAJOMULCO DE ZÚÑIGA, JALISCO, EL CUAL DEBERÁ INCLUIR COMO MÍNIMO:</w:t>
                </w:r>
              </w:p>
              <w:p w:rsidR="00000000" w:rsidDel="00000000" w:rsidP="00000000" w:rsidRDefault="00000000" w:rsidRPr="00000000" w14:paraId="00000042">
                <w:pPr>
                  <w:widowControl w:val="1"/>
                  <w:spacing w:after="0" w:before="0" w:lineRule="auto"/>
                  <w:jc w:val="both"/>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43">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Intervenciones artísticas </w:t>
                </w:r>
              </w:p>
              <w:p w:rsidR="00000000" w:rsidDel="00000000" w:rsidP="00000000" w:rsidRDefault="00000000" w:rsidRPr="00000000" w14:paraId="00000044">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Se deberá proporcionar el servicio integral para los diseños, producción, ejecución y entrega de las intervenciones artísticas tipo mural en el Municipio de Tlajomulco de Zúñiga, Jalisco por parte de (INDAJO), en intervenciones que sumadas den como mínimo de 400 metros cuadrados de intervenciones artisticas.</w:t>
                </w:r>
              </w:p>
              <w:p w:rsidR="00000000" w:rsidDel="00000000" w:rsidP="00000000" w:rsidRDefault="00000000" w:rsidRPr="00000000" w14:paraId="00000045">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6">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servicio deberá contemplar el desarrollo conceptual y gráfico de las obras, incluyendo la elaboración de propuestas visuales con enfoque comunitario, cultural y juvenil, alineadas a los programas, objetivos e identidad institucional. Los diseños definitivos deberán ser previamente presentados y validados por INDAJO antes del inicio de los trabajos de ejecución.</w:t>
                </w:r>
              </w:p>
              <w:p w:rsidR="00000000" w:rsidDel="00000000" w:rsidP="00000000" w:rsidRDefault="00000000" w:rsidRPr="00000000" w14:paraId="00000047">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8">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Trabajos preliminares y preparación de superficie</w:t>
                </w:r>
              </w:p>
              <w:p w:rsidR="00000000" w:rsidDel="00000000" w:rsidP="00000000" w:rsidRDefault="00000000" w:rsidRPr="00000000" w14:paraId="00000049">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Previo a las intervenciones  artísticas, el proveedor deberá realizar la inspección y diagnóstico de los muros a intervenir, considerando todos los trabajos preparatorios necesarios para garantizar la correcta adherencia, conservación y durabilidad de la obra.</w:t>
                </w:r>
              </w:p>
              <w:p w:rsidR="00000000" w:rsidDel="00000000" w:rsidP="00000000" w:rsidRDefault="00000000" w:rsidRPr="00000000" w14:paraId="0000004A">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B">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De manera enunciativa más no limitativa, deberá incluir limpieza de superficies, retiro de materiales sueltos, reparación de grietas o fisuras menores, aplicación de selladores, primarios, fondeos o pintura base, así como cualquier trabajo de restauración o acondicionamiento que resulte necesario para dejar los muros en condiciones óptimas para la ejecución de los murales.</w:t>
                </w:r>
              </w:p>
              <w:p w:rsidR="00000000" w:rsidDel="00000000" w:rsidP="00000000" w:rsidRDefault="00000000" w:rsidRPr="00000000" w14:paraId="0000004C">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D">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Intervenciones</w:t>
                </w:r>
              </w:p>
              <w:p w:rsidR="00000000" w:rsidDel="00000000" w:rsidP="00000000" w:rsidRDefault="00000000" w:rsidRPr="00000000" w14:paraId="0000004E">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Las intervencines deberán ejecutarse de manera profesional sobre muros, cubriendo una superficie mínima de 400 m², garantizando calidad artística, uniformidad en acabados y apego al diseño autorizado.</w:t>
                </w:r>
              </w:p>
              <w:p w:rsidR="00000000" w:rsidDel="00000000" w:rsidP="00000000" w:rsidRDefault="00000000" w:rsidRPr="00000000" w14:paraId="0000004F">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0">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proveedor deberá contar con personal capacitado y experiencia comprobable en intervenciones artísticas urbanas, murales comunitarios o proyectos de naturaleza similar, siendo responsable de la supervisión artística y técnica durante todo el desarrollo de los trabajos.</w:t>
                </w:r>
              </w:p>
              <w:p w:rsidR="00000000" w:rsidDel="00000000" w:rsidP="00000000" w:rsidRDefault="00000000" w:rsidRPr="00000000" w14:paraId="00000051">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2">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Materiales incluidos</w:t>
                </w:r>
              </w:p>
              <w:p w:rsidR="00000000" w:rsidDel="00000000" w:rsidP="00000000" w:rsidRDefault="00000000" w:rsidRPr="00000000" w14:paraId="00000053">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servicio deberá incluir el suministro de todos los materiales necesarios para la correcta ejecución de la intervencion, incluyendo pinturas profesionales de alta calidad, resistentes a la intemperie, humedad y desgaste natural.</w:t>
                </w:r>
              </w:p>
              <w:p w:rsidR="00000000" w:rsidDel="00000000" w:rsidP="00000000" w:rsidRDefault="00000000" w:rsidRPr="00000000" w14:paraId="00000054">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5">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Asimismo, deberá incluir selladores, recubrimientos protectores, barnices o acabados finales que permitan prolongar la vida útil de las intervenciones artísticas.</w:t>
                </w:r>
              </w:p>
              <w:p w:rsidR="00000000" w:rsidDel="00000000" w:rsidP="00000000" w:rsidRDefault="00000000" w:rsidRPr="00000000" w14:paraId="00000056">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7">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También deberá proporcionar herramientas y equipo complementario como brochas, rodillos, pistolas de aplicación, compresores, recipientes, extensiones eléctricas, luminarias para trabajo nocturno en caso de ser necesario, así como cualquier otro insumo requerido para la ejecución integral del servicio.</w:t>
                </w:r>
              </w:p>
              <w:p w:rsidR="00000000" w:rsidDel="00000000" w:rsidP="00000000" w:rsidRDefault="00000000" w:rsidRPr="00000000" w14:paraId="00000058">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9">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Equipo de seguridad y trabajo en altura</w:t>
                </w:r>
              </w:p>
              <w:p w:rsidR="00000000" w:rsidDel="00000000" w:rsidP="00000000" w:rsidRDefault="00000000" w:rsidRPr="00000000" w14:paraId="0000005A">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Cuando las condiciones del proyecto lo requieran, el proveedor deberá suministrar e instalar andamios certificados, incluyendo montaje, uso y desmontaje, así como todo el equipo de protección personal necesario para garantizar la seguridad de los trabajadores.</w:t>
                </w:r>
              </w:p>
              <w:p w:rsidR="00000000" w:rsidDel="00000000" w:rsidP="00000000" w:rsidRDefault="00000000" w:rsidRPr="00000000" w14:paraId="0000005B">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C">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Deberá incluir, como mínimo, arneses, líneas de vida, cascos, chalecos reflejantes, guantes, lentes de protección y demás elementos exigidos por la normatividad aplicable en materia de seguridad laboral.</w:t>
                </w:r>
              </w:p>
              <w:p w:rsidR="00000000" w:rsidDel="00000000" w:rsidP="00000000" w:rsidRDefault="00000000" w:rsidRPr="00000000" w14:paraId="0000005D">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E">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Asimismo, deberá implementar señalización preventiva, delimitación de áreas de trabajo, barreras de seguridad y cualquier medida necesaria para proteger al personal, visitantes y usuarios de las instalaciones durante el desarrollo de la intervención.</w:t>
                </w:r>
              </w:p>
              <w:p w:rsidR="00000000" w:rsidDel="00000000" w:rsidP="00000000" w:rsidRDefault="00000000" w:rsidRPr="00000000" w14:paraId="0000005F">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0">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Condiciones generales del servicio</w:t>
                </w:r>
              </w:p>
              <w:p w:rsidR="00000000" w:rsidDel="00000000" w:rsidP="00000000" w:rsidRDefault="00000000" w:rsidRPr="00000000" w14:paraId="00000061">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proveedor será responsable de la correcta ejecución, conservación y entrega final de las intervenciones artísticas, debiendo garantizar que los materiales utilizados sean de primera calidad, libres de defectos y adecuados para exteriores e instalaciones institucionales.</w:t>
                </w:r>
              </w:p>
              <w:p w:rsidR="00000000" w:rsidDel="00000000" w:rsidP="00000000" w:rsidRDefault="00000000" w:rsidRPr="00000000" w14:paraId="00000062">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3">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Las intervenciones deberán entregarse completamente terminada, limpia y en condiciones óptimas de presentación, retirando residuos, materiales sobrantes y equipo utilizado durante los trabajos.</w:t>
                </w:r>
              </w:p>
              <w:p w:rsidR="00000000" w:rsidDel="00000000" w:rsidP="00000000" w:rsidRDefault="00000000" w:rsidRPr="00000000" w14:paraId="00000064">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5">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Fecha límite de entrega: </w:t>
                </w:r>
                <w:r w:rsidDel="00000000" w:rsidR="00000000" w:rsidRPr="00000000">
                  <w:rPr>
                    <w:rFonts w:ascii="Kanit" w:cs="Kanit" w:eastAsia="Kanit" w:hAnsi="Kanit"/>
                    <w:sz w:val="16"/>
                    <w:szCs w:val="16"/>
                    <w:rtl w:val="0"/>
                  </w:rPr>
                  <w:t xml:space="preserve">19 de junio de 2026.</w:t>
                </w:r>
              </w:p>
              <w:p w:rsidR="00000000" w:rsidDel="00000000" w:rsidP="00000000" w:rsidRDefault="00000000" w:rsidRPr="00000000" w14:paraId="00000066">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Lugar de ejecución: </w:t>
                </w:r>
                <w:r w:rsidDel="00000000" w:rsidR="00000000" w:rsidRPr="00000000">
                  <w:rPr>
                    <w:rFonts w:ascii="Kanit" w:cs="Kanit" w:eastAsia="Kanit" w:hAnsi="Kanit"/>
                    <w:sz w:val="16"/>
                    <w:szCs w:val="16"/>
                    <w:rtl w:val="0"/>
                  </w:rPr>
                  <w:t xml:space="preserve">Dentro del Municipio de Tlajomulco de Zúñiga, Jalisco Lugares que el (INDAJO) especificara debido a las necesidades del servicio.</w:t>
                </w:r>
              </w:p>
              <w:p w:rsidR="00000000" w:rsidDel="00000000" w:rsidP="00000000" w:rsidRDefault="00000000" w:rsidRPr="00000000" w14:paraId="00000067">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8">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proveedor deberá garantizar la entrega total del servicio conforme al diseño y lugar previamente validado por el Instituto.</w:t>
                </w:r>
              </w:p>
            </w:tc>
            <w:tc>
              <w:tcPr>
                <w:shd w:fill="auto" w:val="clear"/>
                <w:vAlign w:val="center"/>
              </w:tcPr>
              <w:p w:rsidR="00000000" w:rsidDel="00000000" w:rsidP="00000000" w:rsidRDefault="00000000" w:rsidRPr="00000000" w14:paraId="00000069">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6B">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6C">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6D">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6E">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6F">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0">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1">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2">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3">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4">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5">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6">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7">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8">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9">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A">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B">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C">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D">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E">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7F">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80">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81">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82">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83">
                <w:pPr>
                  <w:jc w:val="center"/>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84">
                <w:pPr>
                  <w:jc w:val="center"/>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SERVICIO</w:t>
                </w:r>
              </w:p>
              <w:p w:rsidR="00000000" w:rsidDel="00000000" w:rsidP="00000000" w:rsidRDefault="00000000" w:rsidRPr="00000000" w14:paraId="00000085">
                <w:pPr>
                  <w:jc w:val="center"/>
                  <w:rPr>
                    <w:rFonts w:ascii="Kanit" w:cs="Kanit" w:eastAsia="Kanit" w:hAnsi="Kanit"/>
                    <w:b w:val="1"/>
                    <w:bCs w:val="1"/>
                    <w:sz w:val="16"/>
                    <w:szCs w:val="16"/>
                  </w:rPr>
                </w:pPr>
                <w:r w:rsidDel="00000000" w:rsidR="00000000" w:rsidRPr="00000000">
                  <w:rPr>
                    <w:rtl w:val="0"/>
                  </w:rPr>
                </w:r>
              </w:p>
            </w:tc>
          </w:tr>
        </w:tbl>
      </w:sdtContent>
    </w:sdt>
    <w:p w:rsidR="00000000" w:rsidDel="00000000" w:rsidP="00000000" w:rsidRDefault="00000000" w:rsidRPr="00000000" w14:paraId="00000086">
      <w:pPr>
        <w:spacing w:after="0" w:line="276"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7">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con fecha límite de entrega el </w:t>
      </w:r>
      <w:r w:rsidDel="00000000" w:rsidR="00000000" w:rsidRPr="00000000">
        <w:rPr>
          <w:rFonts w:ascii="Kanit" w:cs="Kanit" w:eastAsia="Kanit" w:hAnsi="Kanit"/>
          <w:b w:val="1"/>
          <w:bCs w:val="1"/>
          <w:sz w:val="18"/>
          <w:szCs w:val="18"/>
          <w:rtl w:val="0"/>
        </w:rPr>
        <w:t xml:space="preserve">19 de junio de 2026</w:t>
      </w: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b w:val="1"/>
          <w:bCs w:val="1"/>
          <w:sz w:val="18"/>
          <w:szCs w:val="18"/>
          <w:rtl w:val="0"/>
        </w:rPr>
        <w:t xml:space="preserve">La compra de lo adjudicado no será mayor de acuerdo con el tope presupuestal del ejercicio en curso.</w:t>
      </w:r>
    </w:p>
    <w:p w:rsidR="00000000" w:rsidDel="00000000" w:rsidP="00000000" w:rsidRDefault="00000000" w:rsidRPr="00000000" w14:paraId="0000008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8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8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8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8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9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9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9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9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9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9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9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9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9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9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9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9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9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9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9E">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9F">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0">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1">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A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3">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4">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5">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6">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7">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A8">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-380012</wp:posOffset>
          </wp:positionH>
          <wp:positionV relativeFrom="paragraph">
            <wp:posOffset>-85688</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AA">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Of7ljs5eOQA/GedqolbZhbKAg==">CgMxLjAaHwoBMBIaChgICVIUChJ0YWJsZS5iZjUxOTZvNmltcDYyDmguYzhpenAzY2M1N2Q1OAByITE2X0NPcDdjamxNU0czaFRNNkRWTDgwWHhDd0VEcFd6Tw==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