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OPD/IAJ/SC/009/2026 ADQUISICIÓN DE SERVICIO INTEGRAL PARA “EVENTO DE FOMENTO AL EMPLEO PARA LAS JUVENTUDES” DEL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Cerrado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3821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06 de mayo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12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mayo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12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mayo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908581921"/>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UN SERVICIO INTEGRAL DE ORGANIZACIÓN, PRODUCCIÓN, SUMINISTRO, INSTALACIÓN Y EJECUCIÓN PARA LA REALIZACIÓN DEL “EVENTO DE FOMENTO AL EMPLEO PARA LAS JUVENTUDES”, EL CUAL DEBERÁ INCLUIR COMO MÍNIMO:</w:t>
                </w:r>
              </w:p>
              <w:p w:rsidR="00000000" w:rsidDel="00000000" w:rsidP="00000000" w:rsidRDefault="00000000" w:rsidRPr="00000000" w14:paraId="00000043">
                <w:pPr>
                  <w:widowControl w:val="1"/>
                  <w:spacing w:after="0" w:before="0" w:lineRule="auto"/>
                  <w:jc w:val="both"/>
                  <w:rPr>
                    <w:rFonts w:ascii="Kanit" w:cs="Kanit" w:eastAsia="Kanit" w:hAnsi="Kanit"/>
                    <w:b w:val="1"/>
                    <w:bCs w:val="1"/>
                    <w:sz w:val="16"/>
                    <w:szCs w:val="16"/>
                  </w:rPr>
                </w:pPr>
                <w:r w:rsidDel="00000000" w:rsidR="00000000" w:rsidRPr="00000000">
                  <w:rPr>
                    <w:rtl w:val="0"/>
                  </w:rPr>
                </w:r>
              </w:p>
              <w:p w:rsidR="00000000" w:rsidDel="00000000" w:rsidP="00000000" w:rsidRDefault="00000000" w:rsidRPr="00000000" w14:paraId="00000044">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Coffee break para 200 personas</w:t>
                  <w:br w:type="textWrapping"/>
                </w:r>
                <w:r w:rsidDel="00000000" w:rsidR="00000000" w:rsidRPr="00000000">
                  <w:rPr>
                    <w:rFonts w:ascii="Kanit" w:cs="Kanit" w:eastAsia="Kanit" w:hAnsi="Kanit"/>
                    <w:sz w:val="16"/>
                    <w:szCs w:val="16"/>
                    <w:rtl w:val="0"/>
                  </w:rPr>
                  <w:t xml:space="preserve">Se deberá suministrar un servicio de coffee break para un mínimo de 200 asistentes, garantizando en todo momento la calidad, higiene y adecuada presentación de los alimentos.</w:t>
                </w:r>
              </w:p>
              <w:p w:rsidR="00000000" w:rsidDel="00000000" w:rsidP="00000000" w:rsidRDefault="00000000" w:rsidRPr="00000000" w14:paraId="00000045">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incluir por persona una bebida caliente o fría, pudiendo ser café, té o agua fresca, así como un alimento individual tipo bocadillo, a elegir entre baguette, chapata o equivalente, elaborado el mismo día con insumos frescos, incluyendo galletas individuales empaquetadas.</w:t>
                </w:r>
              </w:p>
              <w:p w:rsidR="00000000" w:rsidDel="00000000" w:rsidP="00000000" w:rsidRDefault="00000000" w:rsidRPr="00000000" w14:paraId="00000046">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proveedor deberá asegurar que los alimentos se entreguen en condiciones óptimas de consumo, con manejo higiénico conforme a la normatividad aplicable, incluyendo los insumos necesarios como vasos, servilletas, agitadores, azúcar y sustitutos.</w:t>
                </w:r>
              </w:p>
              <w:p w:rsidR="00000000" w:rsidDel="00000000" w:rsidP="00000000" w:rsidRDefault="00000000" w:rsidRPr="00000000" w14:paraId="00000047">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presentación deberá ser individual cuando aplique, utilizando materiales de primera calidad, libres de defectos y adecuados para uso institucional.</w:t>
                </w:r>
              </w:p>
              <w:p w:rsidR="00000000" w:rsidDel="00000000" w:rsidP="00000000" w:rsidRDefault="00000000" w:rsidRPr="00000000" w14:paraId="00000048">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9">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Sonido profesional</w:t>
                </w:r>
                <w:r w:rsidDel="00000000" w:rsidR="00000000" w:rsidRPr="00000000">
                  <w:rPr>
                    <w:rFonts w:ascii="Kanit" w:cs="Kanit" w:eastAsia="Kanit" w:hAnsi="Kanit"/>
                    <w:sz w:val="16"/>
                    <w:szCs w:val="16"/>
                    <w:rtl w:val="0"/>
                  </w:rPr>
                  <w:br w:type="textWrapping"/>
                  <w:t xml:space="preserve">Se deberá proporcionar la instalación, operación y desmontaje de un sistema de audio profesional, adecuado a las dimensiones y características del espacio del evento, garantizando una cobertura uniforme y calidad en la reproducción del sonido.</w:t>
                </w:r>
              </w:p>
              <w:p w:rsidR="00000000" w:rsidDel="00000000" w:rsidP="00000000" w:rsidRDefault="00000000" w:rsidRPr="00000000" w14:paraId="0000004A">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sistema deberá incluir bocinas amplificadas, consola de audio, un mínimo de dos micrófonos inalámbricos, así como cableado, conectores y accesorios necesarios para su correcto funcionamiento.</w:t>
                </w:r>
              </w:p>
              <w:p w:rsidR="00000000" w:rsidDel="00000000" w:rsidP="00000000" w:rsidRDefault="00000000" w:rsidRPr="00000000" w14:paraId="0000004B">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contar con una operación mínima de tres horas continuas, incluyendo prueba de audio previa. Todos los equipos deberán ser de primera calidad, libres de defectos y adecuados para uso institucional.</w:t>
                </w:r>
              </w:p>
              <w:p w:rsidR="00000000" w:rsidDel="00000000" w:rsidP="00000000" w:rsidRDefault="00000000" w:rsidRPr="00000000" w14:paraId="0000004C">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D">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Renta de toldo</w:t>
                </w:r>
              </w:p>
              <w:p w:rsidR="00000000" w:rsidDel="00000000" w:rsidP="00000000" w:rsidRDefault="00000000" w:rsidRPr="00000000" w14:paraId="0000004E">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Se deberá suministrar e instalar un toldo con dimensiones mínimas de 6 x 6 metros, adecuado para cubrir el área principal del evento o zona de atención, garantizando resistencia, estabilidad y correcta fijación.</w:t>
                </w:r>
              </w:p>
              <w:p w:rsidR="00000000" w:rsidDel="00000000" w:rsidP="00000000" w:rsidRDefault="00000000" w:rsidRPr="00000000" w14:paraId="0000004F">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toldo deberá encontrarse en óptimas condiciones, limpio, sin daños visibles y elaborado con materiales de primera calidad, libres de defectos y adecuados para uso institucional.</w:t>
                </w:r>
              </w:p>
              <w:p w:rsidR="00000000" w:rsidDel="00000000" w:rsidP="00000000" w:rsidRDefault="00000000" w:rsidRPr="00000000" w14:paraId="00000050">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1">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Tarima con faldón</w:t>
                </w:r>
                <w:r w:rsidDel="00000000" w:rsidR="00000000" w:rsidRPr="00000000">
                  <w:rPr>
                    <w:rFonts w:ascii="Kanit" w:cs="Kanit" w:eastAsia="Kanit" w:hAnsi="Kanit"/>
                    <w:sz w:val="16"/>
                    <w:szCs w:val="16"/>
                    <w:rtl w:val="0"/>
                  </w:rPr>
                  <w:br w:type="textWrapping"/>
                  <w:t xml:space="preserve">Se deberá suministrar e instalar una tarima para uso protocolario, con faldón perimetral, estructura firme y superficie antideslizante, adecuada para la participación de ponentes o desarrollo de actividades principales.</w:t>
                </w:r>
              </w:p>
              <w:p w:rsidR="00000000" w:rsidDel="00000000" w:rsidP="00000000" w:rsidRDefault="00000000" w:rsidRPr="00000000" w14:paraId="00000052">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tarima deberá garantizar condiciones de seguridad, estabilidad y funcionalidad, elaborada con materiales de primera calidad, libres de defectos y adecuados para uso institucional.</w:t>
                </w:r>
              </w:p>
              <w:p w:rsidR="00000000" w:rsidDel="00000000" w:rsidP="00000000" w:rsidRDefault="00000000" w:rsidRPr="00000000" w14:paraId="00000053">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4">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Lona institucional tipo back</w:t>
                </w:r>
                <w:r w:rsidDel="00000000" w:rsidR="00000000" w:rsidRPr="00000000">
                  <w:rPr>
                    <w:rFonts w:ascii="Kanit" w:cs="Kanit" w:eastAsia="Kanit" w:hAnsi="Kanit"/>
                    <w:sz w:val="16"/>
                    <w:szCs w:val="16"/>
                    <w:rtl w:val="0"/>
                  </w:rPr>
                  <w:br w:type="textWrapping"/>
                  <w:t xml:space="preserve">Se deberá producir y suministrar una lona institucional tipo back, con diseño personalizado previamente aprobado por el Instituto.</w:t>
                </w:r>
              </w:p>
              <w:p w:rsidR="00000000" w:rsidDel="00000000" w:rsidP="00000000" w:rsidRDefault="00000000" w:rsidRPr="00000000" w14:paraId="00000055">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lona deberá contar con medidas mínimas de 3.00 metros de ancho por 2.22 metros de alto, impresión en alta resolución y sistema de fijación adecuado para su correcta instalación.</w:t>
                </w:r>
              </w:p>
              <w:p w:rsidR="00000000" w:rsidDel="00000000" w:rsidP="00000000" w:rsidRDefault="00000000" w:rsidRPr="00000000" w14:paraId="00000056">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material deberá ser resistente, con impresión nítida, de primera calidad y libre de defectos.</w:t>
                </w:r>
              </w:p>
              <w:p w:rsidR="00000000" w:rsidDel="00000000" w:rsidP="00000000" w:rsidRDefault="00000000" w:rsidRPr="00000000" w14:paraId="00000057">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8">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Banners institucionales</w:t>
                </w:r>
                <w:r w:rsidDel="00000000" w:rsidR="00000000" w:rsidRPr="00000000">
                  <w:rPr>
                    <w:rFonts w:ascii="Kanit" w:cs="Kanit" w:eastAsia="Kanit" w:hAnsi="Kanit"/>
                    <w:sz w:val="16"/>
                    <w:szCs w:val="16"/>
                    <w:rtl w:val="0"/>
                  </w:rPr>
                  <w:br w:type="textWrapping"/>
                  <w:t xml:space="preserve">Se deberán suministrar dos banners institucionales con diseño previamente aprobado, impresos en alta calidad, con estructuras o soportes que permitan su correcta exhibición durante el evento.</w:t>
                </w:r>
              </w:p>
              <w:p w:rsidR="00000000" w:rsidDel="00000000" w:rsidP="00000000" w:rsidRDefault="00000000" w:rsidRPr="00000000" w14:paraId="00000059">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materiales deberán ser resistentes, funcionales y adecuados para uso institucional.</w:t>
                </w:r>
              </w:p>
              <w:p w:rsidR="00000000" w:rsidDel="00000000" w:rsidP="00000000" w:rsidRDefault="00000000" w:rsidRPr="00000000" w14:paraId="0000005A">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B">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Mobiliario</w:t>
                </w:r>
                <w:r w:rsidDel="00000000" w:rsidR="00000000" w:rsidRPr="00000000">
                  <w:rPr>
                    <w:rFonts w:ascii="Kanit" w:cs="Kanit" w:eastAsia="Kanit" w:hAnsi="Kanit"/>
                    <w:sz w:val="16"/>
                    <w:szCs w:val="16"/>
                    <w:rtl w:val="0"/>
                  </w:rPr>
                  <w:br w:type="textWrapping"/>
                  <w:t xml:space="preserve">Se deberá suministrar, instalar y retirar el mobiliario necesario para el desarrollo del evento, consistente en un mínimo de 15 mesas con sus respectivas sillas.</w:t>
                </w:r>
              </w:p>
              <w:p w:rsidR="00000000" w:rsidDel="00000000" w:rsidP="00000000" w:rsidRDefault="00000000" w:rsidRPr="00000000" w14:paraId="0000005C">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mobiliario deberá encontrarse en óptimas condiciones, limpio, sin daños visibles y con características uniformes. El proveedor deberá garantizar el montaje previo al inicio del evento y su retiro al término del mismo.</w:t>
                </w:r>
              </w:p>
              <w:p w:rsidR="00000000" w:rsidDel="00000000" w:rsidP="00000000" w:rsidRDefault="00000000" w:rsidRPr="00000000" w14:paraId="0000005D">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Todos los elementos deberán ser de primera calidad, libres de defectos y adecuados para uso institucional.</w:t>
                </w:r>
              </w:p>
              <w:p w:rsidR="00000000" w:rsidDel="00000000" w:rsidP="00000000" w:rsidRDefault="00000000" w:rsidRPr="00000000" w14:paraId="0000005E">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F">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Condiciones generales del servicio</w:t>
                </w:r>
              </w:p>
              <w:p w:rsidR="00000000" w:rsidDel="00000000" w:rsidP="00000000" w:rsidRDefault="00000000" w:rsidRPr="00000000" w14:paraId="00000060">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proveedor deberá garantizar la prestación integral del servicio, incluyendo transporte, instalación, operación y desmontaje de todos los elementos descritos.</w:t>
                </w:r>
              </w:p>
              <w:p w:rsidR="00000000" w:rsidDel="00000000" w:rsidP="00000000" w:rsidRDefault="00000000" w:rsidRPr="00000000" w14:paraId="00000061">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2">
                <w:pPr>
                  <w:widowControl w:val="1"/>
                  <w:spacing w:after="0" w:before="0" w:lineRule="auto"/>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entrega deberá realizarse en una sola exhibición, en la fecha, hora y lugar que determine el Instituto, asegurando en todo momento la calidad del servicio y el cumplimiento de los requerimientos establecidos.</w:t>
                </w:r>
              </w:p>
              <w:p w:rsidR="00000000" w:rsidDel="00000000" w:rsidP="00000000" w:rsidRDefault="00000000" w:rsidRPr="00000000" w14:paraId="00000063">
                <w:pPr>
                  <w:widowControl w:val="1"/>
                  <w:spacing w:after="0" w:before="0" w:lineRule="auto"/>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4">
                <w:pPr>
                  <w:widowControl w:val="1"/>
                  <w:spacing w:after="0" w:before="0" w:lineRule="auto"/>
                  <w:jc w:val="both"/>
                  <w:rPr>
                    <w:rFonts w:ascii="Kanit" w:cs="Kanit" w:eastAsia="Kanit" w:hAnsi="Kanit"/>
                    <w:b w:val="1"/>
                    <w:bCs w:val="1"/>
                    <w:sz w:val="16"/>
                    <w:szCs w:val="16"/>
                  </w:rPr>
                </w:pPr>
                <w:r w:rsidDel="00000000" w:rsidR="00000000" w:rsidRPr="00000000">
                  <w:rPr>
                    <w:rFonts w:ascii="Kanit" w:cs="Kanit" w:eastAsia="Kanit" w:hAnsi="Kanit"/>
                    <w:sz w:val="16"/>
                    <w:szCs w:val="16"/>
                    <w:rtl w:val="0"/>
                  </w:rPr>
                  <w:t xml:space="preserve">Todos los bienes y servicios deberán ser de primera calidad, libres de defectos y adecuados para uso institucional, y los diseños deberán ser previamente validados por el Instituto.</w:t>
                </w:r>
                <w:r w:rsidDel="00000000" w:rsidR="00000000" w:rsidRPr="00000000">
                  <w:rPr>
                    <w:rtl w:val="0"/>
                  </w:rPr>
                </w:r>
              </w:p>
            </w:tc>
            <w:tc>
              <w:tcPr>
                <w:shd w:fill="auto" w:val="clear"/>
                <w:vAlign w:val="center"/>
              </w:tcPr>
              <w:p w:rsidR="00000000" w:rsidDel="00000000" w:rsidP="00000000" w:rsidRDefault="00000000" w:rsidRPr="00000000" w14:paraId="00000065">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7">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8">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9">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A">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B">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C">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E">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2">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3">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4">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5">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7">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9">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A">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B">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C">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E">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0">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p w:rsidR="00000000" w:rsidDel="00000000" w:rsidP="00000000" w:rsidRDefault="00000000" w:rsidRPr="00000000" w14:paraId="00000081">
                <w:pPr>
                  <w:jc w:val="center"/>
                  <w:rPr>
                    <w:rFonts w:ascii="Kanit" w:cs="Kanit" w:eastAsia="Kanit" w:hAnsi="Kanit"/>
                    <w:b w:val="1"/>
                    <w:bCs w:val="1"/>
                    <w:sz w:val="14"/>
                    <w:szCs w:val="14"/>
                  </w:rPr>
                </w:pPr>
                <w:r w:rsidDel="00000000" w:rsidR="00000000" w:rsidRPr="00000000">
                  <w:rPr>
                    <w:rtl w:val="0"/>
                  </w:rPr>
                </w:r>
              </w:p>
            </w:tc>
          </w:tr>
        </w:tbl>
      </w:sdtContent>
    </w:sdt>
    <w:p w:rsidR="00000000" w:rsidDel="00000000" w:rsidP="00000000" w:rsidRDefault="00000000" w:rsidRPr="00000000" w14:paraId="00000082">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3">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teniendo fecha límite de entrega el día 15 de mayo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8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8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8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8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8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8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8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8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8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9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9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9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9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9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9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9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B">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C">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D">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9E">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F">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0">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1">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3">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A4">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-380014</wp:posOffset>
          </wp:positionH>
          <wp:positionV relativeFrom="paragraph">
            <wp:posOffset>-85690</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6">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ArcLgv9N+UvvnA5vt9ZqDbwg==">CgMxLjAaHwoBMBIaChgICVIUChJ0YWJsZS5iZjUxOTZvNmltcDYyDmguYzhpenAzY2M1N2Q1OAByITFLYWwtYVBFWkZBaERSaU1GVkNwWnZfbnZEV1BJVFNhSQ==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