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SEGUNDA CONVOCATORIA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J/SC/005/2025 “ADQUISICIÓN DE SERVICIO DE INTERVENCIÓN ARTÍSTICA EN CAJITITLAN, DEL INSTITUTO DE ALTERNATIVAS PARA LOS JÓVENES DEL MUNICIPIO DE TLAJOMULCO DE ZÚÑIGA, JALISCO” (INDAJO). (ACORTADA) (SEGUNDO PROCESO)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licitante</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3820</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27</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87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035"/>
            <w:tblGridChange w:id="0">
              <w:tblGrid>
                <w:gridCol w:w="1650"/>
                <w:gridCol w:w="5700"/>
                <w:gridCol w:w="1485"/>
                <w:gridCol w:w="10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jc w:val="left"/>
                  <w:rPr>
                    <w:rFonts w:ascii="Arial" w:cs="Arial" w:eastAsia="Arial" w:hAnsi="Arial"/>
                    <w:b w:val="1"/>
                  </w:rPr>
                </w:pPr>
                <w:r w:rsidDel="00000000" w:rsidR="00000000" w:rsidRPr="00000000">
                  <w:rPr>
                    <w:rFonts w:ascii="Arial" w:cs="Arial" w:eastAsia="Arial" w:hAnsi="Arial"/>
                    <w:b w:val="1"/>
                    <w:rtl w:val="0"/>
                  </w:rPr>
                  <w:t xml:space="preserve">INTERVENCIÓN ARTÍSTICA EN CAJITITLAN CON DISEÑOS ORIGINALES</w:t>
                </w:r>
              </w:p>
              <w:p w:rsidR="00000000" w:rsidDel="00000000" w:rsidP="00000000" w:rsidRDefault="00000000" w:rsidRPr="00000000" w14:paraId="00000028">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-Limpieza del área seleccionada con jabón y desengrasante para metales.</w:t>
                </w:r>
              </w:p>
              <w:p w:rsidR="00000000" w:rsidDel="00000000" w:rsidP="00000000" w:rsidRDefault="00000000" w:rsidRPr="00000000" w14:paraId="0000002A">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-Diseño y planeación del proyecto, incluyendo logotipo y decoración.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primaria de fondo para el área seleccionada con una mezcla de PINTURA TIPO PRYMER.</w:t>
                </w:r>
              </w:p>
              <w:p w:rsidR="00000000" w:rsidDel="00000000" w:rsidP="00000000" w:rsidRDefault="00000000" w:rsidRPr="00000000" w14:paraId="0000002E">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esmalte con alta resistencia a los rayos UV de alta calidad con el color seleccionado por los artistas a dos pasadas.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-Intervención artística con el diseño original junto con las herramientas adecuadas para su correcta ejecución.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-Aplicación de pintura esmalte con alta resistencia a los rayos UV de alta calidad con el color seleccionado por los artistas a dos pasadas.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-Colocación de 2 (dos) logotipos institucionales INDAJO, TLAJOMULCO.</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435582</wp:posOffset>
                      </wp:positionV>
                      <wp:extent cx="935318" cy="338884"/>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5318" cy="338884"/>
                              </a:xfrm>
                              <a:prstGeom prst="rect"/>
                              <a:ln/>
                            </pic:spPr>
                          </pic:pic>
                        </a:graphicData>
                      </a:graphic>
                    </wp:anchor>
                  </w:drawing>
                </w:r>
              </w:p>
              <w:p w:rsidR="00000000" w:rsidDel="00000000" w:rsidP="00000000" w:rsidRDefault="00000000" w:rsidRPr="00000000" w14:paraId="00000036">
                <w:pPr>
                  <w:widowControl w:val="0"/>
                  <w:spacing w:after="0" w:line="240" w:lineRule="auto"/>
                  <w:jc w:val="both"/>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1362075</wp:posOffset>
                      </wp:positionH>
                      <wp:positionV relativeFrom="paragraph">
                        <wp:posOffset>164491</wp:posOffset>
                      </wp:positionV>
                      <wp:extent cx="1420178" cy="251490"/>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8"/>
                              <a:srcRect b="95217" l="62236" r="0" t="0"/>
                              <a:stretch>
                                <a:fillRect/>
                              </a:stretch>
                            </pic:blipFill>
                            <pic:spPr>
                              <a:xfrm>
                                <a:off x="0" y="0"/>
                                <a:ext cx="1420178" cy="251490"/>
                              </a:xfrm>
                              <a:prstGeom prst="rect"/>
                              <a:ln/>
                            </pic:spPr>
                          </pic:pic>
                        </a:graphicData>
                      </a:graphic>
                    </wp:anchor>
                  </w:drawing>
                </w:r>
              </w:p>
              <w:p w:rsidR="00000000" w:rsidDel="00000000" w:rsidP="00000000" w:rsidRDefault="00000000" w:rsidRPr="00000000" w14:paraId="00000037">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FECHA DE ENTREGA: </w:t>
                </w:r>
                <w:r w:rsidDel="00000000" w:rsidR="00000000" w:rsidRPr="00000000">
                  <w:rPr>
                    <w:rFonts w:ascii="Arial" w:cs="Arial" w:eastAsia="Arial" w:hAnsi="Arial"/>
                    <w:rtl w:val="0"/>
                  </w:rPr>
                  <w:t xml:space="preserve">07 de febrero de 2025</w:t>
                </w:r>
              </w:p>
              <w:p w:rsidR="00000000" w:rsidDel="00000000" w:rsidP="00000000" w:rsidRDefault="00000000" w:rsidRPr="00000000" w14:paraId="0000003B">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UBICACIÓN: </w:t>
                </w:r>
                <w:r w:rsidDel="00000000" w:rsidR="00000000" w:rsidRPr="00000000">
                  <w:rPr>
                    <w:rFonts w:ascii="Arial" w:cs="Arial" w:eastAsia="Arial" w:hAnsi="Arial"/>
                    <w:highlight w:val="white"/>
                    <w:rtl w:val="0"/>
                  </w:rPr>
                  <w:t xml:space="preserve">Mercado del Malecón etapa 1, Av. del Malecón, 45670 Cajititlán, Jal.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PIEZAS</w:t>
                </w:r>
              </w:p>
            </w:tc>
          </w:tr>
        </w:tbl>
      </w:sdtContent>
    </w:sdt>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adjudicará a un solo licitante</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con fecha de entregable del 24 de enero de 2025 en el domicilio </w:t>
      </w:r>
      <w:r w:rsidDel="00000000" w:rsidR="00000000" w:rsidRPr="00000000">
        <w:rPr>
          <w:rFonts w:ascii="Arial" w:cs="Arial" w:eastAsia="Arial" w:hAnsi="Arial"/>
          <w:b w:val="1"/>
          <w:highlight w:val="white"/>
          <w:rtl w:val="0"/>
        </w:rPr>
        <w:t xml:space="preserve">Mercado del Malecón etapa 1, Av. del Malecón, 45670 Cajititlán, Jal.</w:t>
      </w:r>
      <w:r w:rsidDel="00000000" w:rsidR="00000000" w:rsidRPr="00000000">
        <w:rPr>
          <w:rFonts w:ascii="Arial" w:cs="Arial" w:eastAsia="Arial" w:hAnsi="Arial"/>
          <w:b w:val="1"/>
          <w:rtl w:val="0"/>
        </w:rPr>
        <w:t xml:space="preserve"> En el Municipio de Tlajomulco de Zúñiga, Jalisco. La compra de lo adjudicado no será mayor de acuerdo con el tope presupuestal del ejercicio en turno.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-380045</wp:posOffset>
          </wp:positionH>
          <wp:positionV relativeFrom="paragraph">
            <wp:posOffset>-85722</wp:posOffset>
          </wp:positionV>
          <wp:extent cx="6678134" cy="630598"/>
          <wp:effectExtent b="0" l="0" r="0" t="0"/>
          <wp:wrapNone/>
          <wp:docPr id="7"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0"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zRtsyacHP9BZTCBZmtcHMmT7w==">CgMxLjAaHwoBMBIaChgICVIUChJ0YWJsZS5iZjUxOTZvNmltcDY4AHIhMUFoVEttZF9tbjNXZ1Q3dFJTVzZHemR0SXZ3dkY4c0xm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