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J/SC/001/2025 “ADQUISICIÓN DE SERVICIO DE INTERVENCIÓN ARTÍSTICA EN CAJITITLAN, DEL INSTITUTO DE ALTERNATIVAS PARA LOS JÓVENES DEL MUNICIPIO DE TLAJOMULCO DE ZÚÑIGA, JALISCO” (INDAJO). (ACORTADA) </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licitante</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3821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08</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enero</w:t>
            </w:r>
            <w:r w:rsidDel="00000000" w:rsidR="00000000" w:rsidRPr="00000000">
              <w:rPr>
                <w:rFonts w:ascii="Arial" w:cs="Arial" w:eastAsia="Arial" w:hAnsi="Arial"/>
                <w:color w:val="000000"/>
                <w:rtl w:val="0"/>
              </w:rPr>
              <w:t xml:space="preserve"> de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 14</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enero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enero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87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700"/>
            <w:gridCol w:w="1485"/>
            <w:gridCol w:w="1035"/>
            <w:tblGridChange w:id="0">
              <w:tblGrid>
                <w:gridCol w:w="1650"/>
                <w:gridCol w:w="5700"/>
                <w:gridCol w:w="1485"/>
                <w:gridCol w:w="10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line="240" w:lineRule="auto"/>
                  <w:jc w:val="left"/>
                  <w:rPr>
                    <w:rFonts w:ascii="Arial" w:cs="Arial" w:eastAsia="Arial" w:hAnsi="Arial"/>
                    <w:b w:val="1"/>
                  </w:rPr>
                </w:pPr>
                <w:r w:rsidDel="00000000" w:rsidR="00000000" w:rsidRPr="00000000">
                  <w:rPr>
                    <w:rFonts w:ascii="Arial" w:cs="Arial" w:eastAsia="Arial" w:hAnsi="Arial"/>
                    <w:b w:val="1"/>
                    <w:rtl w:val="0"/>
                  </w:rPr>
                  <w:t xml:space="preserve">INTERVENCIÓN ARTÍSTICA EN CAJITITLAN CON DISEÑOS ORIGINALES</w:t>
                </w:r>
              </w:p>
              <w:p w:rsidR="00000000" w:rsidDel="00000000" w:rsidP="00000000" w:rsidRDefault="00000000" w:rsidRPr="00000000" w14:paraId="00000028">
                <w:pPr>
                  <w:spacing w:after="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-Limpieza del área seleccionada con jabón y desengrasante para metales.</w:t>
                </w:r>
              </w:p>
              <w:p w:rsidR="00000000" w:rsidDel="00000000" w:rsidP="00000000" w:rsidRDefault="00000000" w:rsidRPr="00000000" w14:paraId="0000002A">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-Diseño y planeación del proyecto, incluyendo logotipo y decoración.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-Aplicación de pintura primaria de fondo para el área seleccionada con una mezcla de PINTURA TIPO PRYMER.</w:t>
                </w:r>
              </w:p>
              <w:p w:rsidR="00000000" w:rsidDel="00000000" w:rsidP="00000000" w:rsidRDefault="00000000" w:rsidRPr="00000000" w14:paraId="0000002E">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-Aplicación de pintura esmalte con alta resistencia a los rayos UV de alta calidad con el color seleccionado por los artistas a dos pasadas.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-Intervención artística con el diseño original junto con las herramientas adecuadas para su correcta ejecución.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-Aplicación de pintura esmalte con alta resistencia a los rayos UV de alta calidad con el color seleccionado por los artistas a dos pasadas.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-Colocación de 2 (dos) logotipos institucionales INDAJO, TLAJOMULCO.</w:t>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435583</wp:posOffset>
                      </wp:positionV>
                      <wp:extent cx="935318" cy="338884"/>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35318" cy="338884"/>
                              </a:xfrm>
                              <a:prstGeom prst="rect"/>
                              <a:ln/>
                            </pic:spPr>
                          </pic:pic>
                        </a:graphicData>
                      </a:graphic>
                    </wp:anchor>
                  </w:drawing>
                </w:r>
              </w:p>
              <w:p w:rsidR="00000000" w:rsidDel="00000000" w:rsidP="00000000" w:rsidRDefault="00000000" w:rsidRPr="00000000" w14:paraId="00000036">
                <w:pPr>
                  <w:widowControl w:val="0"/>
                  <w:spacing w:after="0" w:line="240" w:lineRule="auto"/>
                  <w:jc w:val="both"/>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1362075</wp:posOffset>
                      </wp:positionH>
                      <wp:positionV relativeFrom="paragraph">
                        <wp:posOffset>164492</wp:posOffset>
                      </wp:positionV>
                      <wp:extent cx="1420178" cy="251490"/>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8"/>
                              <a:srcRect b="95217" l="62237" r="0" t="0"/>
                              <a:stretch>
                                <a:fillRect/>
                              </a:stretch>
                            </pic:blipFill>
                            <pic:spPr>
                              <a:xfrm>
                                <a:off x="0" y="0"/>
                                <a:ext cx="1420178" cy="251490"/>
                              </a:xfrm>
                              <a:prstGeom prst="rect"/>
                              <a:ln/>
                            </pic:spPr>
                          </pic:pic>
                        </a:graphicData>
                      </a:graphic>
                    </wp:anchor>
                  </w:drawing>
                </w:r>
              </w:p>
              <w:p w:rsidR="00000000" w:rsidDel="00000000" w:rsidP="00000000" w:rsidRDefault="00000000" w:rsidRPr="00000000" w14:paraId="00000037">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8">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A">
                <w:pPr>
                  <w:widowControl w:val="0"/>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FECHA DE ENTREGA: </w:t>
                </w:r>
                <w:r w:rsidDel="00000000" w:rsidR="00000000" w:rsidRPr="00000000">
                  <w:rPr>
                    <w:rFonts w:ascii="Arial" w:cs="Arial" w:eastAsia="Arial" w:hAnsi="Arial"/>
                    <w:rtl w:val="0"/>
                  </w:rPr>
                  <w:t xml:space="preserve">17 de enero de 2025</w:t>
                </w:r>
              </w:p>
              <w:p w:rsidR="00000000" w:rsidDel="00000000" w:rsidP="00000000" w:rsidRDefault="00000000" w:rsidRPr="00000000" w14:paraId="0000003B">
                <w:pPr>
                  <w:widowControl w:val="0"/>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UBICACIÓN: </w:t>
                </w:r>
                <w:r w:rsidDel="00000000" w:rsidR="00000000" w:rsidRPr="00000000">
                  <w:rPr>
                    <w:rFonts w:ascii="Arial" w:cs="Arial" w:eastAsia="Arial" w:hAnsi="Arial"/>
                    <w:highlight w:val="white"/>
                    <w:rtl w:val="0"/>
                  </w:rPr>
                  <w:t xml:space="preserve">Mercado del Malecón etapa 1, Av. del Malecón, 45670 Cajititlán, Jal.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PIEZAS</w:t>
                </w:r>
              </w:p>
            </w:tc>
          </w:tr>
        </w:tbl>
      </w:sdtContent>
    </w:sdt>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 adjudicará a un solo licitante</w:t>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con fecha de entregable del 17 de enero de 2025 en el domicilio </w:t>
      </w:r>
      <w:r w:rsidDel="00000000" w:rsidR="00000000" w:rsidRPr="00000000">
        <w:rPr>
          <w:rFonts w:ascii="Arial" w:cs="Arial" w:eastAsia="Arial" w:hAnsi="Arial"/>
          <w:b w:val="1"/>
          <w:highlight w:val="white"/>
          <w:rtl w:val="0"/>
        </w:rPr>
        <w:t xml:space="preserve">Mercado del Malecón etapa 1, Av. del Malecón, 45670 Cajititlán, Jal.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En el Municipio de Tlajomulco de Zúñiga, Jalisco. La compra de lo adjudicado no será mayor de acuerdo con el tope presupuestal del ejercicio en turno.</w:t>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6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6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rPr>
      </w:pPr>
      <w:r w:rsidDel="00000000" w:rsidR="00000000" w:rsidRPr="00000000">
        <w:rPr>
          <w:rtl w:val="0"/>
        </w:rPr>
      </w:r>
    </w:p>
    <w:sectPr>
      <w:headerReference r:id="rId9" w:type="default"/>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-380046</wp:posOffset>
          </wp:positionH>
          <wp:positionV relativeFrom="paragraph">
            <wp:posOffset>-85723</wp:posOffset>
          </wp:positionV>
          <wp:extent cx="6678134" cy="630598"/>
          <wp:effectExtent b="0" l="0" r="0" t="0"/>
          <wp:wrapNone/>
          <wp:docPr id="3"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5"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jJSWQwd1Qx+KM1QGSTlvGajqQ==">CgMxLjAaHwoBMBIaChgICVIUChJ0YWJsZS5iZjUxOTZvNmltcDY4AHIhMXZMRzJScm0yVHlWcEE2dHhPemZrb0VXREtHX3ZtMFBS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