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09" w:rsidRDefault="006F1309" w:rsidP="006F1309">
      <w:pPr>
        <w:spacing w:after="0" w:line="240" w:lineRule="auto"/>
        <w:jc w:val="center"/>
        <w:rPr>
          <w:rFonts w:ascii="Arial" w:hAnsi="Arial" w:cs="Arial"/>
          <w:b/>
          <w:szCs w:val="32"/>
        </w:rPr>
      </w:pPr>
      <w:r w:rsidRPr="006F1309">
        <w:rPr>
          <w:rFonts w:ascii="Arial" w:hAnsi="Arial" w:cs="Arial"/>
          <w:b/>
          <w:szCs w:val="32"/>
        </w:rPr>
        <w:t>“CONVOCATORIA y BASES DE LICITACIÓN PÚBLICA LOCAL SIN CONCURRENCIA DE COMITÉ”</w:t>
      </w:r>
    </w:p>
    <w:p w:rsidR="00A6072D" w:rsidRPr="002F012D" w:rsidRDefault="007C3307" w:rsidP="002F012D">
      <w:pPr>
        <w:spacing w:after="0" w:line="240" w:lineRule="auto"/>
        <w:jc w:val="center"/>
        <w:rPr>
          <w:rFonts w:ascii="Arial" w:hAnsi="Arial" w:cs="Arial"/>
          <w:szCs w:val="32"/>
        </w:rPr>
      </w:pPr>
      <w:r>
        <w:rPr>
          <w:rFonts w:ascii="Arial" w:hAnsi="Arial" w:cs="Arial"/>
          <w:b/>
          <w:szCs w:val="32"/>
        </w:rPr>
        <w:t>CONVOCATORIA OPD/IAJ/</w:t>
      </w:r>
      <w:r w:rsidR="00010887">
        <w:rPr>
          <w:rFonts w:ascii="Arial" w:hAnsi="Arial" w:cs="Arial"/>
          <w:b/>
          <w:szCs w:val="32"/>
        </w:rPr>
        <w:t>SC/</w:t>
      </w:r>
      <w:r w:rsidR="00CC7AB2">
        <w:rPr>
          <w:rFonts w:ascii="Arial" w:hAnsi="Arial" w:cs="Arial"/>
          <w:b/>
          <w:szCs w:val="32"/>
        </w:rPr>
        <w:t>019</w:t>
      </w:r>
      <w:r w:rsidR="00A6072D" w:rsidRPr="00A6072D">
        <w:rPr>
          <w:rFonts w:ascii="Arial" w:hAnsi="Arial" w:cs="Arial"/>
          <w:b/>
          <w:szCs w:val="32"/>
        </w:rPr>
        <w:t xml:space="preserve">/2023 </w:t>
      </w:r>
      <w:r w:rsidR="002F012D" w:rsidRPr="002B61F5">
        <w:rPr>
          <w:rFonts w:ascii="Arial" w:hAnsi="Arial" w:cs="Arial"/>
          <w:b/>
          <w:szCs w:val="32"/>
        </w:rPr>
        <w:t xml:space="preserve">ADQUISICIÓN DE </w:t>
      </w:r>
      <w:r w:rsidR="00E03C27">
        <w:rPr>
          <w:rFonts w:ascii="Arial" w:hAnsi="Arial" w:cs="Arial"/>
          <w:b/>
          <w:szCs w:val="32"/>
        </w:rPr>
        <w:t xml:space="preserve">TOLDO </w:t>
      </w:r>
      <w:r w:rsidR="002F012D">
        <w:rPr>
          <w:rFonts w:ascii="Arial" w:hAnsi="Arial" w:cs="Arial"/>
          <w:b/>
          <w:szCs w:val="32"/>
        </w:rPr>
        <w:t>PARA</w:t>
      </w:r>
      <w:r w:rsidR="00E03C27">
        <w:rPr>
          <w:rFonts w:ascii="Arial" w:hAnsi="Arial" w:cs="Arial"/>
          <w:b/>
          <w:szCs w:val="32"/>
        </w:rPr>
        <w:t xml:space="preserve"> </w:t>
      </w:r>
      <w:r w:rsidR="002F012D" w:rsidRPr="002B61F5">
        <w:rPr>
          <w:rFonts w:ascii="Arial" w:hAnsi="Arial" w:cs="Arial"/>
          <w:b/>
          <w:szCs w:val="32"/>
        </w:rPr>
        <w:t>EL INSTITUTO DE ALTERNATIVAS PARA LOS JÓVENES DEL MUNICIPIO DE TLAJOMULCO DE ZÚÑIGA, JALISCO.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E4627"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4F3868">
            <w:pPr>
              <w:jc w:val="both"/>
              <w:rPr>
                <w:rFonts w:ascii="Arial" w:hAnsi="Arial" w:cs="Arial"/>
                <w:b/>
                <w:lang w:val="es-ES_tradnl" w:eastAsia="es-ES"/>
              </w:rPr>
            </w:pPr>
            <w:r>
              <w:rPr>
                <w:rFonts w:ascii="Arial" w:hAnsi="Arial" w:cs="Arial"/>
                <w:b/>
                <w:lang w:val="es-ES_tradnl" w:eastAsia="es-ES"/>
              </w:rPr>
              <w:t xml:space="preserve">Se podrá adjudicar a </w:t>
            </w:r>
            <w:r w:rsidR="004F3868">
              <w:rPr>
                <w:rFonts w:ascii="Arial" w:hAnsi="Arial" w:cs="Arial"/>
                <w:b/>
                <w:lang w:val="es-ES_tradnl" w:eastAsia="es-ES"/>
              </w:rPr>
              <w:t>varios proveedores</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E03C27" w:rsidP="00556547">
            <w:pPr>
              <w:jc w:val="both"/>
              <w:rPr>
                <w:rFonts w:ascii="Arial" w:hAnsi="Arial" w:cs="Arial"/>
                <w:lang w:val="es-ES_tradnl" w:eastAsia="es-ES"/>
              </w:rPr>
            </w:pPr>
            <w:r>
              <w:rPr>
                <w:rFonts w:ascii="Arial" w:hAnsi="Arial" w:cs="Arial"/>
                <w:bCs/>
                <w:lang w:eastAsia="es-ES"/>
              </w:rPr>
              <w:t>5121</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2634E8">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556547" w:rsidP="002E4627">
            <w:pPr>
              <w:spacing w:after="200" w:line="276" w:lineRule="auto"/>
              <w:jc w:val="both"/>
              <w:rPr>
                <w:rFonts w:ascii="Arial" w:hAnsi="Arial" w:cs="Arial"/>
                <w:b/>
              </w:rPr>
            </w:pPr>
            <w:r>
              <w:rPr>
                <w:rFonts w:ascii="Arial" w:hAnsi="Arial" w:cs="Arial"/>
                <w:color w:val="000000"/>
              </w:rPr>
              <w:t xml:space="preserve"> </w:t>
            </w:r>
            <w:r w:rsidR="00CC7AB2">
              <w:rPr>
                <w:rFonts w:ascii="Arial" w:hAnsi="Arial" w:cs="Arial"/>
                <w:color w:val="000000"/>
              </w:rPr>
              <w:t>25</w:t>
            </w:r>
            <w:r w:rsidR="007C3307">
              <w:rPr>
                <w:rFonts w:ascii="Arial" w:hAnsi="Arial" w:cs="Arial"/>
                <w:color w:val="000000"/>
              </w:rPr>
              <w:t xml:space="preserve"> de abril </w:t>
            </w:r>
            <w:r>
              <w:rPr>
                <w:rFonts w:ascii="Arial" w:hAnsi="Arial" w:cs="Arial"/>
                <w:color w:val="000000"/>
              </w:rPr>
              <w:t xml:space="preserve">de </w:t>
            </w:r>
            <w:r w:rsidR="0031011D">
              <w:rPr>
                <w:rFonts w:ascii="Arial" w:hAnsi="Arial" w:cs="Arial"/>
                <w:color w:val="000000"/>
              </w:rPr>
              <w:t>del 2023</w:t>
            </w:r>
          </w:p>
        </w:tc>
      </w:tr>
      <w:tr w:rsidR="0031011D" w:rsidRPr="006F1309" w:rsidTr="002634E8">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2634E8">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0A00C2" w:rsidP="00CC7AB2">
            <w:pPr>
              <w:spacing w:after="200"/>
              <w:jc w:val="both"/>
              <w:rPr>
                <w:rFonts w:ascii="Arial" w:hAnsi="Arial" w:cs="Arial"/>
              </w:rPr>
            </w:pPr>
            <w:r>
              <w:rPr>
                <w:rFonts w:ascii="Arial" w:hAnsi="Arial" w:cs="Arial"/>
                <w:color w:val="000000"/>
              </w:rPr>
              <w:t xml:space="preserve"> </w:t>
            </w:r>
            <w:r w:rsidR="00CC7AB2">
              <w:rPr>
                <w:rFonts w:ascii="Arial" w:hAnsi="Arial" w:cs="Arial"/>
                <w:color w:val="000000"/>
              </w:rPr>
              <w:t xml:space="preserve">08 de mayo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2634E8">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CC7AB2" w:rsidP="0031011D">
            <w:pPr>
              <w:spacing w:after="200"/>
              <w:jc w:val="both"/>
              <w:rPr>
                <w:rFonts w:ascii="Arial" w:hAnsi="Arial" w:cs="Arial"/>
                <w:b/>
              </w:rPr>
            </w:pPr>
            <w:r>
              <w:rPr>
                <w:rFonts w:ascii="Arial" w:hAnsi="Arial" w:cs="Arial"/>
                <w:color w:val="000000"/>
              </w:rPr>
              <w:t xml:space="preserve">08 de mayo </w:t>
            </w:r>
            <w:r w:rsidR="0031011D">
              <w:rPr>
                <w:rFonts w:ascii="Arial" w:hAnsi="Arial" w:cs="Arial"/>
                <w:color w:val="000000"/>
              </w:rPr>
              <w:t>del 2023</w:t>
            </w:r>
            <w:r w:rsidR="0031011D" w:rsidRPr="002024BF">
              <w:rPr>
                <w:rFonts w:ascii="Arial" w:hAnsi="Arial" w:cs="Arial"/>
                <w:color w:val="000000"/>
              </w:rPr>
              <w:t xml:space="preserve">, a las </w:t>
            </w:r>
            <w:r w:rsidR="00645932">
              <w:rPr>
                <w:rFonts w:ascii="Arial" w:hAnsi="Arial" w:cs="Arial"/>
              </w:rPr>
              <w:t>13:20</w:t>
            </w:r>
            <w:r w:rsidR="0031011D" w:rsidRPr="002024BF">
              <w:rPr>
                <w:rFonts w:ascii="Arial" w:hAnsi="Arial" w:cs="Arial"/>
              </w:rPr>
              <w:t xml:space="preserve"> horas, Oficinas del Órgano de Control Interno de Tlajomulco de Zúñiga, ubicado en calle Independencia #105, colonia centro, en Tlajomulco de Zúñiga, Jalisco.</w:t>
            </w:r>
          </w:p>
        </w:tc>
      </w:tr>
      <w:tr w:rsidR="0031011D" w:rsidRPr="006F1309" w:rsidTr="002634E8">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2634E8">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lastRenderedPageBreak/>
        <w:t>Bases</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A6072D">
        <w:trPr>
          <w:trHeight w:val="62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E03C27" w:rsidTr="00E03C27">
        <w:trPr>
          <w:trHeight w:val="808"/>
        </w:trPr>
        <w:tc>
          <w:tcPr>
            <w:tcW w:w="1011" w:type="dxa"/>
            <w:tcBorders>
              <w:top w:val="single" w:sz="4" w:space="0" w:color="auto"/>
              <w:left w:val="single" w:sz="4" w:space="0" w:color="auto"/>
              <w:bottom w:val="single" w:sz="4" w:space="0" w:color="auto"/>
              <w:right w:val="single" w:sz="4" w:space="0" w:color="auto"/>
            </w:tcBorders>
            <w:shd w:val="clear" w:color="auto" w:fill="auto"/>
            <w:noWrap/>
          </w:tcPr>
          <w:p w:rsidR="00E03C27" w:rsidRDefault="00E03C27" w:rsidP="00E03C27">
            <w:pPr>
              <w:rPr>
                <w:rFonts w:ascii="Arial" w:eastAsia="Times New Roman" w:hAnsi="Arial" w:cs="Arial"/>
                <w:sz w:val="20"/>
                <w:szCs w:val="20"/>
              </w:rPr>
            </w:pPr>
            <w:r>
              <w:rPr>
                <w:rFonts w:ascii="Arial" w:eastAsia="Times New Roman" w:hAnsi="Arial" w:cs="Arial"/>
                <w:sz w:val="20"/>
                <w:szCs w:val="20"/>
              </w:rPr>
              <w:t xml:space="preserve">  </w:t>
            </w:r>
          </w:p>
          <w:p w:rsidR="00E03C27" w:rsidRDefault="00E03C27" w:rsidP="00E03C27">
            <w:pPr>
              <w:rPr>
                <w:rFonts w:ascii="Arial" w:eastAsia="Times New Roman" w:hAnsi="Arial" w:cs="Arial"/>
                <w:sz w:val="20"/>
                <w:szCs w:val="20"/>
              </w:rPr>
            </w:pPr>
            <w:r>
              <w:rPr>
                <w:rFonts w:ascii="Arial" w:eastAsia="Times New Roman" w:hAnsi="Arial" w:cs="Arial"/>
                <w:sz w:val="20"/>
                <w:szCs w:val="20"/>
              </w:rPr>
              <w:t xml:space="preserve">     1</w:t>
            </w:r>
          </w:p>
        </w:tc>
        <w:tc>
          <w:tcPr>
            <w:tcW w:w="5382" w:type="dxa"/>
            <w:tcBorders>
              <w:top w:val="single" w:sz="4" w:space="0" w:color="000000"/>
              <w:left w:val="single" w:sz="4" w:space="0" w:color="000000"/>
              <w:bottom w:val="single" w:sz="4" w:space="0" w:color="000000"/>
              <w:right w:val="single" w:sz="4" w:space="0" w:color="000000"/>
            </w:tcBorders>
            <w:noWrap/>
          </w:tcPr>
          <w:p w:rsidR="00E03C27" w:rsidRDefault="00E03C27" w:rsidP="00E03C27">
            <w:pPr>
              <w:pStyle w:val="NormalWeb"/>
              <w:spacing w:before="0" w:beforeAutospacing="0" w:after="0" w:afterAutospacing="0"/>
              <w:jc w:val="center"/>
              <w:rPr>
                <w:rFonts w:ascii="Arial" w:hAnsi="Arial" w:cs="Arial"/>
                <w:color w:val="000000"/>
                <w:sz w:val="18"/>
                <w:szCs w:val="18"/>
              </w:rPr>
            </w:pPr>
          </w:p>
          <w:p w:rsidR="00E03C27" w:rsidRDefault="00E03C27" w:rsidP="00E03C27">
            <w:pPr>
              <w:pStyle w:val="NormalWeb"/>
              <w:spacing w:before="0" w:beforeAutospacing="0" w:after="0" w:afterAutospacing="0"/>
              <w:jc w:val="center"/>
              <w:rPr>
                <w:rFonts w:ascii="Arial" w:hAnsi="Arial" w:cs="Arial"/>
                <w:color w:val="000000"/>
                <w:sz w:val="18"/>
                <w:szCs w:val="18"/>
              </w:rPr>
            </w:pPr>
          </w:p>
          <w:p w:rsidR="00E03C27" w:rsidRDefault="00935E0B" w:rsidP="00935E0B">
            <w:pPr>
              <w:pStyle w:val="NormalWeb"/>
              <w:spacing w:before="0" w:beforeAutospacing="0" w:after="0" w:afterAutospacing="0"/>
              <w:jc w:val="center"/>
            </w:pPr>
            <w:r>
              <w:rPr>
                <w:rFonts w:ascii="Arial" w:hAnsi="Arial" w:cs="Arial"/>
                <w:color w:val="000000"/>
                <w:sz w:val="18"/>
                <w:szCs w:val="18"/>
              </w:rPr>
              <w:t>TOLDO DE USO RUDO DE 6 X 6 METROS CON TUBOS Y LONA DE ALTA RESISTENCIA.</w:t>
            </w:r>
          </w:p>
        </w:tc>
        <w:tc>
          <w:tcPr>
            <w:tcW w:w="1415" w:type="dxa"/>
            <w:tcBorders>
              <w:top w:val="single" w:sz="4" w:space="0" w:color="000000"/>
              <w:left w:val="single" w:sz="4" w:space="0" w:color="000000"/>
              <w:bottom w:val="single" w:sz="4" w:space="0" w:color="000000"/>
              <w:right w:val="single" w:sz="4" w:space="0" w:color="000000"/>
            </w:tcBorders>
            <w:noWrap/>
          </w:tcPr>
          <w:p w:rsidR="00E03C27" w:rsidRDefault="00E03C27" w:rsidP="00E03C27">
            <w:pPr>
              <w:pStyle w:val="NormalWeb"/>
              <w:spacing w:before="0" w:beforeAutospacing="0" w:after="0" w:afterAutospacing="0"/>
              <w:jc w:val="center"/>
              <w:rPr>
                <w:rFonts w:ascii="Calibri" w:hAnsi="Calibri" w:cs="Calibri"/>
                <w:color w:val="000000"/>
                <w:sz w:val="22"/>
                <w:szCs w:val="22"/>
              </w:rPr>
            </w:pPr>
          </w:p>
          <w:p w:rsidR="00E03C27" w:rsidRDefault="00E03C27" w:rsidP="00E03C27">
            <w:pPr>
              <w:pStyle w:val="NormalWeb"/>
              <w:spacing w:before="0" w:beforeAutospacing="0" w:after="0" w:afterAutospacing="0"/>
              <w:jc w:val="center"/>
            </w:pPr>
            <w:r>
              <w:rPr>
                <w:rFonts w:ascii="Calibri" w:hAnsi="Calibri" w:cs="Calibri"/>
                <w:color w:val="000000"/>
                <w:sz w:val="22"/>
                <w:szCs w:val="22"/>
              </w:rPr>
              <w:t>2</w:t>
            </w:r>
          </w:p>
        </w:tc>
        <w:tc>
          <w:tcPr>
            <w:tcW w:w="1104" w:type="dxa"/>
            <w:tcBorders>
              <w:top w:val="single" w:sz="4" w:space="0" w:color="000000"/>
              <w:left w:val="single" w:sz="4" w:space="0" w:color="000000"/>
              <w:bottom w:val="single" w:sz="4" w:space="0" w:color="000000"/>
              <w:right w:val="single" w:sz="4" w:space="0" w:color="000000"/>
            </w:tcBorders>
          </w:tcPr>
          <w:p w:rsidR="00E03C27" w:rsidRDefault="00E03C27" w:rsidP="00E03C27">
            <w:pPr>
              <w:pStyle w:val="NormalWeb"/>
              <w:spacing w:before="0" w:beforeAutospacing="0" w:after="0" w:afterAutospacing="0"/>
              <w:jc w:val="center"/>
              <w:rPr>
                <w:rFonts w:ascii="Calibri" w:hAnsi="Calibri" w:cs="Calibri"/>
                <w:color w:val="000000"/>
                <w:sz w:val="22"/>
                <w:szCs w:val="22"/>
              </w:rPr>
            </w:pPr>
          </w:p>
          <w:p w:rsidR="00E03C27" w:rsidRDefault="00E03C27" w:rsidP="00E03C27">
            <w:pPr>
              <w:pStyle w:val="NormalWeb"/>
              <w:spacing w:before="0" w:beforeAutospacing="0" w:after="0" w:afterAutospacing="0"/>
              <w:jc w:val="center"/>
            </w:pPr>
            <w:r>
              <w:rPr>
                <w:rFonts w:ascii="Calibri" w:hAnsi="Calibri" w:cs="Calibri"/>
                <w:color w:val="000000"/>
                <w:sz w:val="22"/>
                <w:szCs w:val="22"/>
              </w:rPr>
              <w:t>PIEZA</w:t>
            </w:r>
          </w:p>
        </w:tc>
      </w:tr>
      <w:tr w:rsidR="00A6072D" w:rsidTr="002D58A7">
        <w:trPr>
          <w:trHeight w:val="223"/>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6072D" w:rsidRPr="00277F99" w:rsidRDefault="00A6072D" w:rsidP="00E03C27">
            <w:pPr>
              <w:rPr>
                <w:rFonts w:ascii="Arial" w:hAnsi="Arial" w:cs="Arial"/>
                <w:sz w:val="20"/>
              </w:rPr>
            </w:pPr>
            <w:r w:rsidRPr="00EB4D6C">
              <w:rPr>
                <w:rFonts w:ascii="Arial" w:hAnsi="Arial" w:cs="Arial"/>
                <w:b/>
                <w:sz w:val="20"/>
              </w:rPr>
              <w:t>DESCRIPCIÓN DETALLADA</w:t>
            </w:r>
            <w:r w:rsidRPr="00EB4D6C">
              <w:rPr>
                <w:rFonts w:ascii="Arial" w:hAnsi="Arial" w:cs="Arial"/>
                <w:sz w:val="20"/>
              </w:rPr>
              <w:t>:</w:t>
            </w:r>
            <w:r w:rsidRPr="00EB4D6C">
              <w:rPr>
                <w:rFonts w:ascii="Arial" w:hAnsi="Arial" w:cs="Arial"/>
                <w:b/>
                <w:sz w:val="20"/>
              </w:rPr>
              <w:t xml:space="preserve"> </w:t>
            </w:r>
            <w:r w:rsidR="00E03C27">
              <w:rPr>
                <w:rFonts w:ascii="Arial" w:hAnsi="Arial" w:cs="Arial"/>
                <w:sz w:val="20"/>
              </w:rPr>
              <w:t xml:space="preserve">Adquisición de toldo </w:t>
            </w:r>
            <w:r>
              <w:rPr>
                <w:rFonts w:ascii="Arial" w:hAnsi="Arial" w:cs="Arial"/>
                <w:sz w:val="20"/>
              </w:rPr>
              <w:t>del Instituto de A</w:t>
            </w:r>
            <w:r w:rsidRPr="00EB4D6C">
              <w:rPr>
                <w:rFonts w:ascii="Arial" w:hAnsi="Arial" w:cs="Arial"/>
                <w:sz w:val="20"/>
              </w:rPr>
              <w:t>lternativas para los jóvenes</w:t>
            </w:r>
            <w:r>
              <w:rPr>
                <w:rFonts w:ascii="Arial" w:hAnsi="Arial" w:cs="Arial"/>
                <w:sz w:val="20"/>
              </w:rPr>
              <w:t xml:space="preserve"> del M</w:t>
            </w:r>
            <w:r w:rsidRPr="00EB4D6C">
              <w:rPr>
                <w:rFonts w:ascii="Arial" w:hAnsi="Arial" w:cs="Arial"/>
                <w:sz w:val="20"/>
              </w:rPr>
              <w:t>unicipio de Tlajomulco de Zúñiga, Jalisco.</w:t>
            </w:r>
          </w:p>
        </w:tc>
      </w:tr>
    </w:tbl>
    <w:p w:rsidR="00CC7AB2" w:rsidRDefault="00CC7AB2" w:rsidP="00CC7AB2">
      <w:pPr>
        <w:spacing w:after="0" w:line="240" w:lineRule="auto"/>
        <w:jc w:val="both"/>
        <w:rPr>
          <w:b/>
        </w:rPr>
      </w:pPr>
      <w:bookmarkStart w:id="0" w:name="_GoBack"/>
    </w:p>
    <w:p w:rsidR="00CC7AB2" w:rsidRPr="00CC7AB2" w:rsidRDefault="00CC7AB2" w:rsidP="00CC7AB2">
      <w:pPr>
        <w:spacing w:after="0" w:line="240" w:lineRule="auto"/>
        <w:jc w:val="both"/>
        <w:rPr>
          <w:b/>
        </w:rPr>
      </w:pPr>
      <w:r w:rsidRPr="00CC7AB2">
        <w:rPr>
          <w:b/>
        </w:rPr>
        <w:t xml:space="preserve">Primera licitación fue publicada el día </w:t>
      </w:r>
      <w:r>
        <w:rPr>
          <w:b/>
        </w:rPr>
        <w:t xml:space="preserve">14 de abril </w:t>
      </w:r>
      <w:r w:rsidRPr="00CC7AB2">
        <w:rPr>
          <w:b/>
        </w:rPr>
        <w:t xml:space="preserve">del 2023 y vencida el </w:t>
      </w:r>
      <w:r>
        <w:rPr>
          <w:b/>
        </w:rPr>
        <w:t>día 24</w:t>
      </w:r>
      <w:r w:rsidRPr="00CC7AB2">
        <w:rPr>
          <w:b/>
        </w:rPr>
        <w:t xml:space="preserve"> abril del 2023, la cual se declaró desierta ya que no se presentaron el mínimo de propuestas señaladas en el artículo 72, Fracción VI de la Ley de Compras Gubernamentales, Enajenaciones y Contratación de Servicios del Esta</w:t>
      </w:r>
      <w:r w:rsidR="009C58F3">
        <w:rPr>
          <w:b/>
        </w:rPr>
        <w:t xml:space="preserve">do de Jalisco y sus Municipios. </w:t>
      </w:r>
      <w:r w:rsidR="009C58F3" w:rsidRPr="00CC7AB2">
        <w:rPr>
          <w:b/>
        </w:rPr>
        <w:t>Por</w:t>
      </w:r>
      <w:r w:rsidRPr="00CC7AB2">
        <w:rPr>
          <w:b/>
        </w:rPr>
        <w:t xml:space="preserve"> lo que esta es la segunda convocatoria publicada.</w:t>
      </w:r>
    </w:p>
    <w:bookmarkEnd w:id="0"/>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F012D" w:rsidRDefault="002F012D"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2F012D" w:rsidRPr="00366390" w:rsidRDefault="002F012D" w:rsidP="006A50AB">
      <w:pPr>
        <w:spacing w:after="0" w:line="240" w:lineRule="auto"/>
        <w:jc w:val="both"/>
        <w:rPr>
          <w:b/>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12.- Para intervenir en el acto de presentación y apertura de proposiciones, bastará que los licitantes presenten un escrito ante personal del Órgano de Control Interno en el que su firmante </w:t>
      </w:r>
      <w:r w:rsidRPr="00EB4D6C">
        <w:rPr>
          <w:rFonts w:ascii="Arial" w:hAnsi="Arial" w:cs="Arial"/>
          <w:sz w:val="21"/>
          <w:szCs w:val="21"/>
        </w:rPr>
        <w:lastRenderedPageBreak/>
        <w:t>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31011D" w:rsidRDefault="0031011D" w:rsidP="00EB4D6C">
      <w:pPr>
        <w:spacing w:after="0" w:line="240" w:lineRule="auto"/>
        <w:jc w:val="both"/>
        <w:rPr>
          <w:rFonts w:ascii="Arial" w:hAnsi="Arial" w:cs="Arial"/>
        </w:rPr>
      </w:pPr>
    </w:p>
    <w:p w:rsidR="0031011D" w:rsidRPr="00EB4D6C" w:rsidRDefault="0031011D"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A061CE">
      <w:pPr>
        <w:spacing w:after="0"/>
        <w:jc w:val="both"/>
        <w:rPr>
          <w:rFonts w:ascii="Arial" w:hAnsi="Arial" w:cs="Arial"/>
          <w:sz w:val="20"/>
          <w:szCs w:val="20"/>
        </w:rPr>
      </w:pP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5E6" w:rsidRDefault="005A75E6">
      <w:pPr>
        <w:spacing w:after="0" w:line="240" w:lineRule="auto"/>
      </w:pPr>
      <w:r>
        <w:separator/>
      </w:r>
    </w:p>
  </w:endnote>
  <w:endnote w:type="continuationSeparator" w:id="0">
    <w:p w:rsidR="005A75E6" w:rsidRDefault="005A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5E6" w:rsidRDefault="005A75E6">
      <w:pPr>
        <w:spacing w:after="0" w:line="240" w:lineRule="auto"/>
      </w:pPr>
      <w:r>
        <w:separator/>
      </w:r>
    </w:p>
  </w:footnote>
  <w:footnote w:type="continuationSeparator" w:id="0">
    <w:p w:rsidR="005A75E6" w:rsidRDefault="005A7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0887"/>
    <w:rsid w:val="00016A09"/>
    <w:rsid w:val="000321D2"/>
    <w:rsid w:val="00035B5F"/>
    <w:rsid w:val="0009334C"/>
    <w:rsid w:val="000A00C2"/>
    <w:rsid w:val="000A2186"/>
    <w:rsid w:val="000C6019"/>
    <w:rsid w:val="000C7552"/>
    <w:rsid w:val="001035DF"/>
    <w:rsid w:val="0011487B"/>
    <w:rsid w:val="00116030"/>
    <w:rsid w:val="00116438"/>
    <w:rsid w:val="00121A40"/>
    <w:rsid w:val="00146B6B"/>
    <w:rsid w:val="00147080"/>
    <w:rsid w:val="001514EC"/>
    <w:rsid w:val="00167BA0"/>
    <w:rsid w:val="001A5474"/>
    <w:rsid w:val="001B70D5"/>
    <w:rsid w:val="001D3206"/>
    <w:rsid w:val="001D5F1A"/>
    <w:rsid w:val="001E183A"/>
    <w:rsid w:val="002A7D2C"/>
    <w:rsid w:val="002B4026"/>
    <w:rsid w:val="002B4907"/>
    <w:rsid w:val="002B5C92"/>
    <w:rsid w:val="002E4627"/>
    <w:rsid w:val="002F012D"/>
    <w:rsid w:val="002F0D77"/>
    <w:rsid w:val="002F74B2"/>
    <w:rsid w:val="0031011D"/>
    <w:rsid w:val="00312256"/>
    <w:rsid w:val="00327EF1"/>
    <w:rsid w:val="0033683E"/>
    <w:rsid w:val="00356515"/>
    <w:rsid w:val="00366390"/>
    <w:rsid w:val="00371D19"/>
    <w:rsid w:val="0037277F"/>
    <w:rsid w:val="00383D76"/>
    <w:rsid w:val="0038435B"/>
    <w:rsid w:val="003B20C5"/>
    <w:rsid w:val="003B781D"/>
    <w:rsid w:val="003D1CEA"/>
    <w:rsid w:val="003D2495"/>
    <w:rsid w:val="004115CE"/>
    <w:rsid w:val="00436B49"/>
    <w:rsid w:val="00441C9D"/>
    <w:rsid w:val="00474E4D"/>
    <w:rsid w:val="00476DC9"/>
    <w:rsid w:val="00490EB8"/>
    <w:rsid w:val="004977AD"/>
    <w:rsid w:val="004C05F0"/>
    <w:rsid w:val="004D1137"/>
    <w:rsid w:val="004D270E"/>
    <w:rsid w:val="004F1110"/>
    <w:rsid w:val="004F3868"/>
    <w:rsid w:val="004F647B"/>
    <w:rsid w:val="004F6BA5"/>
    <w:rsid w:val="005515E5"/>
    <w:rsid w:val="00556547"/>
    <w:rsid w:val="00556F13"/>
    <w:rsid w:val="005705BD"/>
    <w:rsid w:val="005A0790"/>
    <w:rsid w:val="005A3346"/>
    <w:rsid w:val="005A75E6"/>
    <w:rsid w:val="005C5E42"/>
    <w:rsid w:val="00645932"/>
    <w:rsid w:val="00652559"/>
    <w:rsid w:val="006622A0"/>
    <w:rsid w:val="00677616"/>
    <w:rsid w:val="006A50AB"/>
    <w:rsid w:val="006B52B9"/>
    <w:rsid w:val="006C776F"/>
    <w:rsid w:val="006D1B93"/>
    <w:rsid w:val="006F1309"/>
    <w:rsid w:val="006F3196"/>
    <w:rsid w:val="006F4EFC"/>
    <w:rsid w:val="007330BD"/>
    <w:rsid w:val="00736FC2"/>
    <w:rsid w:val="00747405"/>
    <w:rsid w:val="0075412F"/>
    <w:rsid w:val="007910F2"/>
    <w:rsid w:val="00793E93"/>
    <w:rsid w:val="007C0BA9"/>
    <w:rsid w:val="007C3307"/>
    <w:rsid w:val="007D3D41"/>
    <w:rsid w:val="00807095"/>
    <w:rsid w:val="00824F9A"/>
    <w:rsid w:val="0085252A"/>
    <w:rsid w:val="008603F7"/>
    <w:rsid w:val="00866E07"/>
    <w:rsid w:val="00880CCF"/>
    <w:rsid w:val="00890F49"/>
    <w:rsid w:val="008A4028"/>
    <w:rsid w:val="008B4421"/>
    <w:rsid w:val="008F4623"/>
    <w:rsid w:val="008F7C17"/>
    <w:rsid w:val="00921747"/>
    <w:rsid w:val="00926F09"/>
    <w:rsid w:val="00935E0B"/>
    <w:rsid w:val="00974CC7"/>
    <w:rsid w:val="00990FA0"/>
    <w:rsid w:val="009921B8"/>
    <w:rsid w:val="009B0581"/>
    <w:rsid w:val="009C58F3"/>
    <w:rsid w:val="009D49CD"/>
    <w:rsid w:val="009F04E7"/>
    <w:rsid w:val="009F731F"/>
    <w:rsid w:val="00A061CE"/>
    <w:rsid w:val="00A22094"/>
    <w:rsid w:val="00A520E6"/>
    <w:rsid w:val="00A6072D"/>
    <w:rsid w:val="00AA122A"/>
    <w:rsid w:val="00AC1CE4"/>
    <w:rsid w:val="00AE1F32"/>
    <w:rsid w:val="00AE4F9A"/>
    <w:rsid w:val="00B0327A"/>
    <w:rsid w:val="00B04635"/>
    <w:rsid w:val="00B744E2"/>
    <w:rsid w:val="00B81454"/>
    <w:rsid w:val="00BA6270"/>
    <w:rsid w:val="00C24C25"/>
    <w:rsid w:val="00C46B21"/>
    <w:rsid w:val="00C61E60"/>
    <w:rsid w:val="00C818FC"/>
    <w:rsid w:val="00C873AD"/>
    <w:rsid w:val="00CB5212"/>
    <w:rsid w:val="00CC20B4"/>
    <w:rsid w:val="00CC7AB2"/>
    <w:rsid w:val="00CF7227"/>
    <w:rsid w:val="00D17676"/>
    <w:rsid w:val="00D25EC9"/>
    <w:rsid w:val="00DA017F"/>
    <w:rsid w:val="00DB17A9"/>
    <w:rsid w:val="00DC7910"/>
    <w:rsid w:val="00DE7B82"/>
    <w:rsid w:val="00E03C27"/>
    <w:rsid w:val="00E34DFC"/>
    <w:rsid w:val="00E44F8C"/>
    <w:rsid w:val="00E45560"/>
    <w:rsid w:val="00EA73D7"/>
    <w:rsid w:val="00EB46CB"/>
    <w:rsid w:val="00EB4D6C"/>
    <w:rsid w:val="00EC0C0A"/>
    <w:rsid w:val="00EF5D3D"/>
    <w:rsid w:val="00F25395"/>
    <w:rsid w:val="00F42D40"/>
    <w:rsid w:val="00F4649B"/>
    <w:rsid w:val="00F52B40"/>
    <w:rsid w:val="00FA65B2"/>
    <w:rsid w:val="00FA708F"/>
    <w:rsid w:val="00FC31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C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97D30-CF6B-4BF3-BD42-5B0EE998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7326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2023-04-14T19:28:00Z</cp:lastPrinted>
  <dcterms:created xsi:type="dcterms:W3CDTF">2023-04-25T18:18:00Z</dcterms:created>
  <dcterms:modified xsi:type="dcterms:W3CDTF">2023-04-25T19:23:00Z</dcterms:modified>
</cp:coreProperties>
</file>