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23" w:rsidRDefault="00F47E23" w:rsidP="00E2313C">
      <w:pPr>
        <w:pBdr>
          <w:top w:val="nil"/>
          <w:left w:val="nil"/>
          <w:bottom w:val="nil"/>
          <w:right w:val="nil"/>
          <w:between w:val="nil"/>
        </w:pBdr>
        <w:tabs>
          <w:tab w:val="center" w:pos="4419"/>
          <w:tab w:val="right" w:pos="8838"/>
        </w:tabs>
        <w:spacing w:after="0" w:line="240" w:lineRule="auto"/>
        <w:rPr>
          <w:rFonts w:ascii="Arial" w:hAnsi="Arial" w:cs="Arial"/>
          <w:b/>
          <w:szCs w:val="32"/>
        </w:rPr>
      </w:pPr>
    </w:p>
    <w:p w:rsidR="00FB38CE" w:rsidRDefault="00FB38CE" w:rsidP="00F47E23">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p>
    <w:p w:rsidR="0078397B" w:rsidRPr="00F47E23" w:rsidRDefault="00797B31" w:rsidP="00F47E2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OPD/IAJ/SC/00</w:t>
      </w:r>
      <w:r w:rsidR="00C869F2">
        <w:rPr>
          <w:rFonts w:ascii="Arial" w:hAnsi="Arial" w:cs="Arial"/>
          <w:b/>
          <w:szCs w:val="32"/>
        </w:rPr>
        <w:t>2</w:t>
      </w:r>
      <w:r w:rsidR="00F47E23">
        <w:rPr>
          <w:rFonts w:ascii="Arial" w:hAnsi="Arial" w:cs="Arial"/>
          <w:b/>
          <w:szCs w:val="32"/>
        </w:rPr>
        <w:t>/</w:t>
      </w:r>
      <w:r>
        <w:rPr>
          <w:rFonts w:ascii="Arial" w:hAnsi="Arial" w:cs="Arial"/>
          <w:b/>
          <w:szCs w:val="32"/>
        </w:rPr>
        <w:t>2024</w:t>
      </w:r>
      <w:r w:rsidR="00F47E23" w:rsidRPr="00A6072D">
        <w:rPr>
          <w:rFonts w:ascii="Arial" w:hAnsi="Arial" w:cs="Arial"/>
          <w:b/>
          <w:szCs w:val="32"/>
        </w:rPr>
        <w:t xml:space="preserve"> </w:t>
      </w:r>
      <w:r w:rsidR="00F47E23">
        <w:rPr>
          <w:rFonts w:ascii="Arial" w:hAnsi="Arial" w:cs="Arial"/>
          <w:b/>
          <w:szCs w:val="32"/>
        </w:rPr>
        <w:t xml:space="preserve">“ADQUISICIÓN  DE SERVICIO DE </w:t>
      </w:r>
      <w:r w:rsidR="00504D4E">
        <w:rPr>
          <w:rFonts w:ascii="Arial" w:hAnsi="Arial" w:cs="Arial"/>
          <w:b/>
          <w:szCs w:val="32"/>
        </w:rPr>
        <w:t xml:space="preserve">INTERNET </w:t>
      </w:r>
      <w:r w:rsidR="00C869F2">
        <w:rPr>
          <w:rFonts w:ascii="Arial" w:hAnsi="Arial" w:cs="Arial"/>
          <w:b/>
          <w:szCs w:val="32"/>
        </w:rPr>
        <w:t>PARA E</w:t>
      </w:r>
      <w:r w:rsidR="00F47E23" w:rsidRPr="002B61F5">
        <w:rPr>
          <w:rFonts w:ascii="Arial" w:hAnsi="Arial" w:cs="Arial"/>
          <w:b/>
          <w:szCs w:val="32"/>
        </w:rPr>
        <w:t>L INSTITUTO DE ALTERNATIVAS PARA LOS JÓVENES DEL MUNICIPIO DE TLAJOMULCO DE ZÚÑIGA, JALISCO</w:t>
      </w:r>
      <w:r w:rsidR="00F47E23">
        <w:rPr>
          <w:rFonts w:ascii="Arial" w:hAnsi="Arial" w:cs="Arial"/>
          <w:b/>
          <w:szCs w:val="32"/>
        </w:rPr>
        <w:t>”</w:t>
      </w:r>
      <w:r w:rsidR="00F47E23" w:rsidRPr="002B61F5">
        <w:rPr>
          <w:rFonts w:ascii="Arial" w:hAnsi="Arial" w:cs="Arial"/>
          <w:b/>
          <w:szCs w:val="32"/>
        </w:rPr>
        <w:t xml:space="preserve"> (INDAJO)</w:t>
      </w:r>
      <w:r w:rsidR="00F47E23">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w:t>
      </w:r>
      <w:r w:rsidR="003F6D61">
        <w:rPr>
          <w:rFonts w:ascii="Arial" w:hAnsi="Arial" w:cs="Arial"/>
          <w:szCs w:val="20"/>
        </w:rPr>
        <w:t>r en la Licitación Pública Nacional</w:t>
      </w:r>
      <w:bookmarkStart w:id="0" w:name="_GoBack"/>
      <w:bookmarkEnd w:id="0"/>
      <w:r w:rsidRPr="006F1309">
        <w:rPr>
          <w:rFonts w:ascii="Arial" w:hAnsi="Arial" w:cs="Arial"/>
          <w:szCs w:val="20"/>
        </w:rPr>
        <w:t>,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681B9B" w:rsidP="00681B9B">
            <w:pPr>
              <w:jc w:val="both"/>
              <w:rPr>
                <w:rFonts w:ascii="Arial" w:hAnsi="Arial" w:cs="Arial"/>
                <w:lang w:val="es-ES_tradnl" w:eastAsia="es-ES"/>
              </w:rPr>
            </w:pPr>
            <w:r>
              <w:rPr>
                <w:rFonts w:ascii="Arial" w:hAnsi="Arial" w:cs="Arial"/>
                <w:lang w:val="es-ES_tradnl" w:eastAsia="es-ES"/>
              </w:rPr>
              <w:t>Municipal</w:t>
            </w:r>
            <w:r w:rsidR="0031011D" w:rsidRPr="002F2AD9">
              <w:rPr>
                <w:rFonts w:ascii="Arial" w:hAnsi="Arial" w:cs="Arial"/>
                <w:lang w:val="es-ES_tradnl" w:eastAsia="es-ES"/>
              </w:rPr>
              <w:t xml:space="preserve">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681B9B" w:rsidP="0031011D">
            <w:pPr>
              <w:jc w:val="both"/>
              <w:rPr>
                <w:rFonts w:ascii="Arial" w:hAnsi="Arial" w:cs="Arial"/>
                <w:lang w:val="es-ES_tradnl" w:eastAsia="es-ES"/>
              </w:rPr>
            </w:pPr>
            <w:r>
              <w:rPr>
                <w:rFonts w:ascii="Arial" w:hAnsi="Arial" w:cs="Arial"/>
                <w:lang w:val="es-ES_tradnl" w:eastAsia="es-ES"/>
              </w:rPr>
              <w:t>Nacional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797B31"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F47E23">
            <w:pPr>
              <w:jc w:val="both"/>
              <w:rPr>
                <w:rFonts w:ascii="Arial" w:hAnsi="Arial" w:cs="Arial"/>
                <w:b/>
                <w:lang w:val="es-ES_tradnl" w:eastAsia="es-ES"/>
              </w:rPr>
            </w:pPr>
            <w:r>
              <w:rPr>
                <w:rFonts w:ascii="Arial" w:hAnsi="Arial" w:cs="Arial"/>
                <w:b/>
                <w:lang w:val="es-ES_tradnl" w:eastAsia="es-ES"/>
              </w:rPr>
              <w:t>Se podrá adjudicar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14D05" w:rsidP="00556547">
            <w:pPr>
              <w:jc w:val="both"/>
              <w:rPr>
                <w:rFonts w:ascii="Arial" w:hAnsi="Arial" w:cs="Arial"/>
                <w:lang w:val="es-ES_tradnl" w:eastAsia="es-ES"/>
              </w:rPr>
            </w:pPr>
            <w:r>
              <w:rPr>
                <w:rFonts w:ascii="Arial" w:hAnsi="Arial" w:cs="Arial"/>
                <w:lang w:val="es-ES_tradnl" w:eastAsia="es-ES"/>
              </w:rPr>
              <w:t>3161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14D05" w:rsidP="00F57EB4">
            <w:pPr>
              <w:spacing w:after="200" w:line="276" w:lineRule="auto"/>
              <w:jc w:val="both"/>
              <w:rPr>
                <w:rFonts w:ascii="Arial" w:hAnsi="Arial" w:cs="Arial"/>
                <w:b/>
              </w:rPr>
            </w:pPr>
            <w:r>
              <w:rPr>
                <w:rFonts w:ascii="Arial" w:hAnsi="Arial" w:cs="Arial"/>
                <w:color w:val="000000"/>
              </w:rPr>
              <w:t xml:space="preserve">27 </w:t>
            </w:r>
            <w:r w:rsidR="00797B31">
              <w:rPr>
                <w:rFonts w:ascii="Arial" w:hAnsi="Arial" w:cs="Arial"/>
                <w:color w:val="000000"/>
              </w:rPr>
              <w:t>Febrero 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29512F" w:rsidP="00A51328">
            <w:pPr>
              <w:spacing w:after="200"/>
              <w:jc w:val="both"/>
              <w:rPr>
                <w:rFonts w:ascii="Arial" w:hAnsi="Arial" w:cs="Arial"/>
              </w:rPr>
            </w:pPr>
            <w:r>
              <w:rPr>
                <w:rFonts w:ascii="Arial" w:hAnsi="Arial" w:cs="Arial"/>
                <w:color w:val="000000"/>
              </w:rPr>
              <w:t>08</w:t>
            </w:r>
            <w:r w:rsidR="00AC14E8">
              <w:rPr>
                <w:rFonts w:ascii="Arial" w:hAnsi="Arial" w:cs="Arial"/>
                <w:color w:val="000000"/>
              </w:rPr>
              <w:t xml:space="preserve"> de marzo</w:t>
            </w:r>
            <w:r w:rsidR="00797B31">
              <w:rPr>
                <w:rFonts w:ascii="Arial" w:hAnsi="Arial" w:cs="Arial"/>
                <w:color w:val="000000"/>
              </w:rPr>
              <w:t xml:space="preserve"> 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29512F" w:rsidP="00A51328">
            <w:pPr>
              <w:spacing w:after="200"/>
              <w:jc w:val="both"/>
              <w:rPr>
                <w:rFonts w:ascii="Arial" w:hAnsi="Arial" w:cs="Arial"/>
                <w:b/>
              </w:rPr>
            </w:pPr>
            <w:r>
              <w:rPr>
                <w:rFonts w:ascii="Arial" w:hAnsi="Arial" w:cs="Arial"/>
                <w:color w:val="000000"/>
              </w:rPr>
              <w:t>08</w:t>
            </w:r>
            <w:r w:rsidR="00AC14E8">
              <w:rPr>
                <w:rFonts w:ascii="Arial" w:hAnsi="Arial" w:cs="Arial"/>
                <w:color w:val="000000"/>
              </w:rPr>
              <w:t xml:space="preserve"> de marzo</w:t>
            </w:r>
            <w:r w:rsidR="00797B31">
              <w:rPr>
                <w:rFonts w:ascii="Arial" w:hAnsi="Arial" w:cs="Arial"/>
                <w:color w:val="000000"/>
              </w:rPr>
              <w:t xml:space="preserve"> 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FB38CE" w:rsidRDefault="00FB38CE" w:rsidP="00504D4E">
      <w:pPr>
        <w:spacing w:after="0"/>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504D4E" w:rsidTr="00050DD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D4E" w:rsidRDefault="00504D4E" w:rsidP="00050DD2">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504D4E" w:rsidRDefault="00504D4E" w:rsidP="00050DD2">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504D4E" w:rsidRDefault="00504D4E" w:rsidP="00050DD2">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504D4E" w:rsidRDefault="00504D4E" w:rsidP="00050DD2">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504D4E" w:rsidTr="00050DD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D4E" w:rsidRPr="00EB46CB" w:rsidRDefault="00504D4E" w:rsidP="00050DD2">
            <w:pPr>
              <w:spacing w:after="0"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504D4E" w:rsidRPr="008754D5" w:rsidRDefault="00504D4E" w:rsidP="00050DD2">
            <w:pPr>
              <w:pStyle w:val="Sinespaciado"/>
              <w:rPr>
                <w:rFonts w:ascii="Arial" w:hAnsi="Arial" w:cs="Arial"/>
              </w:rPr>
            </w:pPr>
            <w:r w:rsidRPr="008754D5">
              <w:rPr>
                <w:rFonts w:ascii="Arial" w:hAnsi="Arial" w:cs="Arial"/>
                <w:b/>
              </w:rPr>
              <w:t>Servicio de Internet</w:t>
            </w:r>
            <w:r w:rsidRPr="008754D5">
              <w:rPr>
                <w:rFonts w:ascii="Arial" w:hAnsi="Arial" w:cs="Arial"/>
              </w:rPr>
              <w:t xml:space="preserve"> para el Instituto (INDAJO) con las siguientes características: </w:t>
            </w:r>
          </w:p>
          <w:p w:rsidR="00504D4E" w:rsidRDefault="00504D4E" w:rsidP="00050DD2">
            <w:pPr>
              <w:pStyle w:val="Sinespaciado"/>
              <w:rPr>
                <w:rFonts w:ascii="Arial" w:hAnsi="Arial" w:cs="Arial"/>
              </w:rPr>
            </w:pPr>
            <w:r w:rsidRPr="008754D5">
              <w:rPr>
                <w:rFonts w:ascii="Arial" w:hAnsi="Arial" w:cs="Arial"/>
              </w:rPr>
              <w:t>-</w:t>
            </w:r>
            <w:r w:rsidR="00C869F2" w:rsidRPr="008754D5">
              <w:rPr>
                <w:rFonts w:ascii="Arial" w:hAnsi="Arial" w:cs="Arial"/>
              </w:rPr>
              <w:t xml:space="preserve"> mínimo de hasta 750 MEGAS</w:t>
            </w:r>
            <w:r w:rsidRPr="008754D5">
              <w:rPr>
                <w:rFonts w:ascii="Arial" w:hAnsi="Arial" w:cs="Arial"/>
              </w:rPr>
              <w:t>.</w:t>
            </w:r>
          </w:p>
          <w:p w:rsidR="00865877" w:rsidRPr="00865877" w:rsidRDefault="00865877" w:rsidP="00865877">
            <w:pPr>
              <w:pStyle w:val="Sinespaciado"/>
              <w:rPr>
                <w:rFonts w:ascii="Arial" w:hAnsi="Arial" w:cs="Arial"/>
              </w:rPr>
            </w:pPr>
            <w:r w:rsidRPr="00865877">
              <w:rPr>
                <w:rFonts w:ascii="Arial" w:hAnsi="Arial" w:cs="Arial"/>
              </w:rPr>
              <w:t xml:space="preserve">- Modem con puerto </w:t>
            </w:r>
            <w:proofErr w:type="spellStart"/>
            <w:r w:rsidRPr="00865877">
              <w:rPr>
                <w:rFonts w:ascii="Arial" w:hAnsi="Arial" w:cs="Arial"/>
              </w:rPr>
              <w:t>wan</w:t>
            </w:r>
            <w:proofErr w:type="spellEnd"/>
            <w:r w:rsidRPr="00865877">
              <w:rPr>
                <w:rFonts w:ascii="Arial" w:hAnsi="Arial" w:cs="Arial"/>
              </w:rPr>
              <w:t xml:space="preserve"> de alta </w:t>
            </w:r>
            <w:proofErr w:type="spellStart"/>
            <w:r w:rsidRPr="00865877">
              <w:rPr>
                <w:rFonts w:ascii="Arial" w:hAnsi="Arial" w:cs="Arial"/>
              </w:rPr>
              <w:t>velicidad</w:t>
            </w:r>
            <w:proofErr w:type="spellEnd"/>
          </w:p>
          <w:p w:rsidR="00865877" w:rsidRPr="008754D5" w:rsidRDefault="00865877" w:rsidP="00050DD2">
            <w:pPr>
              <w:pStyle w:val="Sinespaciado"/>
              <w:rPr>
                <w:rFonts w:ascii="Arial" w:hAnsi="Arial" w:cs="Arial"/>
              </w:rPr>
            </w:pPr>
            <w:r w:rsidRPr="00865877">
              <w:rPr>
                <w:rFonts w:ascii="Arial" w:hAnsi="Arial" w:cs="Arial"/>
              </w:rPr>
              <w:t xml:space="preserve">- velocidad de bajada </w:t>
            </w:r>
            <w:proofErr w:type="spellStart"/>
            <w:r w:rsidRPr="00865877">
              <w:rPr>
                <w:rFonts w:ascii="Arial" w:hAnsi="Arial" w:cs="Arial"/>
              </w:rPr>
              <w:t>minima</w:t>
            </w:r>
            <w:proofErr w:type="spellEnd"/>
            <w:r w:rsidRPr="00865877">
              <w:rPr>
                <w:rFonts w:ascii="Arial" w:hAnsi="Arial" w:cs="Arial"/>
              </w:rPr>
              <w:t xml:space="preserve"> de 400Mbps y una velocidad de subida de 100Mbps </w:t>
            </w:r>
          </w:p>
          <w:p w:rsidR="00504D4E" w:rsidRPr="008754D5" w:rsidRDefault="00504D4E" w:rsidP="00050DD2">
            <w:pPr>
              <w:pStyle w:val="Sinespaciado"/>
              <w:rPr>
                <w:rFonts w:ascii="Arial" w:hAnsi="Arial" w:cs="Arial"/>
              </w:rPr>
            </w:pPr>
            <w:r w:rsidRPr="008754D5">
              <w:rPr>
                <w:rFonts w:ascii="Arial" w:hAnsi="Arial" w:cs="Arial"/>
              </w:rPr>
              <w:t xml:space="preserve">- pagos mensuales </w:t>
            </w:r>
          </w:p>
          <w:p w:rsidR="00504D4E" w:rsidRDefault="00504D4E" w:rsidP="00050DD2">
            <w:pPr>
              <w:pStyle w:val="Sinespaciado"/>
              <w:rPr>
                <w:rFonts w:ascii="Arial" w:hAnsi="Arial" w:cs="Arial"/>
              </w:rPr>
            </w:pPr>
            <w:r w:rsidRPr="008754D5">
              <w:rPr>
                <w:rFonts w:ascii="Arial" w:hAnsi="Arial" w:cs="Arial"/>
              </w:rPr>
              <w:t xml:space="preserve">- facturación </w:t>
            </w:r>
            <w:r w:rsidR="0088221A">
              <w:rPr>
                <w:rFonts w:ascii="Arial" w:hAnsi="Arial" w:cs="Arial"/>
              </w:rPr>
              <w:t>electrónica</w:t>
            </w:r>
          </w:p>
          <w:p w:rsidR="0088221A" w:rsidRPr="008754D5" w:rsidRDefault="0088221A" w:rsidP="00050DD2">
            <w:pPr>
              <w:pStyle w:val="Sinespaciado"/>
              <w:rPr>
                <w:rFonts w:ascii="Arial" w:hAnsi="Arial" w:cs="Arial"/>
              </w:rPr>
            </w:pPr>
            <w:r>
              <w:rPr>
                <w:rFonts w:ascii="Arial" w:hAnsi="Arial" w:cs="Arial"/>
              </w:rPr>
              <w:t>- Seguridad de antivirus</w:t>
            </w:r>
          </w:p>
          <w:p w:rsidR="00504D4E" w:rsidRPr="008754D5" w:rsidRDefault="00AC14E8" w:rsidP="00050DD2">
            <w:pPr>
              <w:pStyle w:val="Sinespaciado"/>
              <w:rPr>
                <w:rFonts w:ascii="Arial" w:hAnsi="Arial" w:cs="Arial"/>
              </w:rPr>
            </w:pPr>
            <w:r w:rsidRPr="008754D5">
              <w:rPr>
                <w:rFonts w:ascii="Arial" w:hAnsi="Arial" w:cs="Arial"/>
              </w:rPr>
              <w:t>- (7</w:t>
            </w:r>
            <w:r w:rsidR="00504D4E" w:rsidRPr="008754D5">
              <w:rPr>
                <w:rFonts w:ascii="Arial" w:hAnsi="Arial" w:cs="Arial"/>
              </w:rPr>
              <w:t xml:space="preserve"> meses de servicio)</w:t>
            </w:r>
          </w:p>
          <w:p w:rsidR="00C869F2" w:rsidRPr="008754D5" w:rsidRDefault="00C869F2" w:rsidP="00050DD2">
            <w:pPr>
              <w:pStyle w:val="Sinespaciado"/>
              <w:rPr>
                <w:rFonts w:ascii="Arial" w:hAnsi="Arial" w:cs="Arial"/>
                <w:b/>
              </w:rPr>
            </w:pPr>
          </w:p>
          <w:p w:rsidR="00C869F2" w:rsidRPr="008754D5" w:rsidRDefault="00C869F2" w:rsidP="00050DD2">
            <w:pPr>
              <w:pStyle w:val="Sinespaciado"/>
            </w:pPr>
            <w:r w:rsidRPr="008754D5">
              <w:rPr>
                <w:rFonts w:ascii="Arial" w:hAnsi="Arial" w:cs="Arial"/>
                <w:b/>
              </w:rPr>
              <w:t>Domicilio del inmueble:</w:t>
            </w:r>
            <w:r w:rsidRPr="008754D5">
              <w:rPr>
                <w:rFonts w:ascii="Arial" w:hAnsi="Arial" w:cs="Arial"/>
              </w:rPr>
              <w:t xml:space="preserve"> Calle Constitución, número 157, interior C. al interior de la Unidad Deportiva Mariano Otero, en Tlajomulco de Zúñiga, Jalisco.</w:t>
            </w:r>
          </w:p>
        </w:tc>
        <w:tc>
          <w:tcPr>
            <w:tcW w:w="1415" w:type="dxa"/>
            <w:tcBorders>
              <w:top w:val="single" w:sz="4" w:space="0" w:color="auto"/>
              <w:left w:val="nil"/>
              <w:bottom w:val="single" w:sz="4" w:space="0" w:color="auto"/>
              <w:right w:val="single" w:sz="4" w:space="0" w:color="auto"/>
            </w:tcBorders>
            <w:shd w:val="clear" w:color="auto" w:fill="auto"/>
            <w:noWrap/>
          </w:tcPr>
          <w:p w:rsidR="00504D4E" w:rsidRPr="00EB46CB" w:rsidRDefault="00AC14E8" w:rsidP="00050DD2">
            <w:pPr>
              <w:spacing w:line="240" w:lineRule="auto"/>
              <w:jc w:val="center"/>
              <w:rPr>
                <w:rFonts w:ascii="Arial" w:hAnsi="Arial" w:cs="Arial"/>
              </w:rPr>
            </w:pPr>
            <w:r>
              <w:rPr>
                <w:rFonts w:ascii="Arial" w:hAnsi="Arial" w:cs="Arial"/>
              </w:rPr>
              <w:t xml:space="preserve">7 </w:t>
            </w:r>
            <w:r w:rsidR="00504D4E">
              <w:rPr>
                <w:rFonts w:ascii="Arial" w:hAnsi="Arial" w:cs="Arial"/>
              </w:rPr>
              <w:t>meses</w:t>
            </w:r>
          </w:p>
        </w:tc>
        <w:tc>
          <w:tcPr>
            <w:tcW w:w="1104" w:type="dxa"/>
            <w:tcBorders>
              <w:top w:val="single" w:sz="4" w:space="0" w:color="auto"/>
              <w:left w:val="nil"/>
              <w:bottom w:val="single" w:sz="4" w:space="0" w:color="auto"/>
              <w:right w:val="single" w:sz="4" w:space="0" w:color="auto"/>
            </w:tcBorders>
          </w:tcPr>
          <w:p w:rsidR="00504D4E" w:rsidRPr="00EB46CB" w:rsidRDefault="00504D4E" w:rsidP="00050DD2">
            <w:pPr>
              <w:jc w:val="center"/>
              <w:rPr>
                <w:rFonts w:ascii="Arial" w:hAnsi="Arial" w:cs="Arial"/>
              </w:rPr>
            </w:pPr>
            <w:r>
              <w:rPr>
                <w:rFonts w:ascii="Arial" w:hAnsi="Arial" w:cs="Arial"/>
              </w:rPr>
              <w:t>servicio</w:t>
            </w:r>
          </w:p>
        </w:tc>
      </w:tr>
      <w:tr w:rsidR="00C869F2" w:rsidTr="00050DD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9F2" w:rsidRDefault="00AC14E8" w:rsidP="00050DD2">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C869F2" w:rsidRPr="008754D5" w:rsidRDefault="00C869F2" w:rsidP="00C869F2">
            <w:pPr>
              <w:pStyle w:val="Sinespaciado"/>
              <w:rPr>
                <w:rFonts w:ascii="Arial" w:hAnsi="Arial" w:cs="Arial"/>
              </w:rPr>
            </w:pPr>
            <w:r w:rsidRPr="008754D5">
              <w:rPr>
                <w:rFonts w:ascii="Arial" w:hAnsi="Arial" w:cs="Arial"/>
                <w:b/>
              </w:rPr>
              <w:t>Servicio de Internet</w:t>
            </w:r>
            <w:r w:rsidRPr="008754D5">
              <w:rPr>
                <w:rFonts w:ascii="Arial" w:hAnsi="Arial" w:cs="Arial"/>
              </w:rPr>
              <w:t xml:space="preserve"> para la Base El Valle, con las siguientes características: </w:t>
            </w:r>
          </w:p>
          <w:p w:rsidR="00C869F2" w:rsidRDefault="00C869F2" w:rsidP="00C869F2">
            <w:pPr>
              <w:pStyle w:val="Sinespaciado"/>
              <w:rPr>
                <w:rFonts w:ascii="Arial" w:hAnsi="Arial" w:cs="Arial"/>
              </w:rPr>
            </w:pPr>
            <w:r w:rsidRPr="008754D5">
              <w:rPr>
                <w:rFonts w:ascii="Arial" w:hAnsi="Arial" w:cs="Arial"/>
              </w:rPr>
              <w:t>- mínimo de hasta 750 MEGAS.</w:t>
            </w:r>
          </w:p>
          <w:p w:rsidR="00865877" w:rsidRPr="00865877" w:rsidRDefault="00865877" w:rsidP="00865877">
            <w:pPr>
              <w:pStyle w:val="Sinespaciado"/>
              <w:rPr>
                <w:rFonts w:ascii="Arial" w:hAnsi="Arial" w:cs="Arial"/>
              </w:rPr>
            </w:pPr>
            <w:r w:rsidRPr="00865877">
              <w:rPr>
                <w:rFonts w:ascii="Arial" w:hAnsi="Arial" w:cs="Arial"/>
              </w:rPr>
              <w:t xml:space="preserve">- Modem con puerto </w:t>
            </w:r>
            <w:proofErr w:type="spellStart"/>
            <w:r w:rsidRPr="00865877">
              <w:rPr>
                <w:rFonts w:ascii="Arial" w:hAnsi="Arial" w:cs="Arial"/>
              </w:rPr>
              <w:t>wan</w:t>
            </w:r>
            <w:proofErr w:type="spellEnd"/>
            <w:r w:rsidRPr="00865877">
              <w:rPr>
                <w:rFonts w:ascii="Arial" w:hAnsi="Arial" w:cs="Arial"/>
              </w:rPr>
              <w:t xml:space="preserve"> de alta </w:t>
            </w:r>
            <w:proofErr w:type="spellStart"/>
            <w:r w:rsidRPr="00865877">
              <w:rPr>
                <w:rFonts w:ascii="Arial" w:hAnsi="Arial" w:cs="Arial"/>
              </w:rPr>
              <w:t>velicidad</w:t>
            </w:r>
            <w:proofErr w:type="spellEnd"/>
          </w:p>
          <w:p w:rsidR="00865877" w:rsidRPr="008754D5" w:rsidRDefault="00865877" w:rsidP="00C869F2">
            <w:pPr>
              <w:pStyle w:val="Sinespaciado"/>
              <w:rPr>
                <w:rFonts w:ascii="Arial" w:hAnsi="Arial" w:cs="Arial"/>
              </w:rPr>
            </w:pPr>
            <w:r w:rsidRPr="00865877">
              <w:rPr>
                <w:rFonts w:ascii="Arial" w:hAnsi="Arial" w:cs="Arial"/>
              </w:rPr>
              <w:t xml:space="preserve">- velocidad de bajada </w:t>
            </w:r>
            <w:proofErr w:type="spellStart"/>
            <w:r w:rsidRPr="00865877">
              <w:rPr>
                <w:rFonts w:ascii="Arial" w:hAnsi="Arial" w:cs="Arial"/>
              </w:rPr>
              <w:t>minima</w:t>
            </w:r>
            <w:proofErr w:type="spellEnd"/>
            <w:r w:rsidRPr="00865877">
              <w:rPr>
                <w:rFonts w:ascii="Arial" w:hAnsi="Arial" w:cs="Arial"/>
              </w:rPr>
              <w:t xml:space="preserve"> de 400Mbps y una velocidad de subida de 100Mbps </w:t>
            </w:r>
          </w:p>
          <w:p w:rsidR="00C869F2" w:rsidRPr="008754D5" w:rsidRDefault="00C869F2" w:rsidP="00C869F2">
            <w:pPr>
              <w:pStyle w:val="Sinespaciado"/>
              <w:rPr>
                <w:rFonts w:ascii="Arial" w:hAnsi="Arial" w:cs="Arial"/>
              </w:rPr>
            </w:pPr>
            <w:r w:rsidRPr="008754D5">
              <w:rPr>
                <w:rFonts w:ascii="Arial" w:hAnsi="Arial" w:cs="Arial"/>
              </w:rPr>
              <w:t xml:space="preserve">- pagos mensuales </w:t>
            </w:r>
          </w:p>
          <w:p w:rsidR="00C869F2" w:rsidRDefault="0088221A" w:rsidP="00C869F2">
            <w:pPr>
              <w:pStyle w:val="Sinespaciado"/>
              <w:rPr>
                <w:rFonts w:ascii="Arial" w:hAnsi="Arial" w:cs="Arial"/>
              </w:rPr>
            </w:pPr>
            <w:r>
              <w:rPr>
                <w:rFonts w:ascii="Arial" w:hAnsi="Arial" w:cs="Arial"/>
              </w:rPr>
              <w:t>- facturación electrónica</w:t>
            </w:r>
          </w:p>
          <w:p w:rsidR="0088221A" w:rsidRPr="008754D5" w:rsidRDefault="0088221A" w:rsidP="00C869F2">
            <w:pPr>
              <w:pStyle w:val="Sinespaciado"/>
              <w:rPr>
                <w:rFonts w:ascii="Arial" w:hAnsi="Arial" w:cs="Arial"/>
              </w:rPr>
            </w:pPr>
            <w:r>
              <w:rPr>
                <w:rFonts w:ascii="Arial" w:hAnsi="Arial" w:cs="Arial"/>
              </w:rPr>
              <w:t>- Seguridad de antivirus</w:t>
            </w:r>
          </w:p>
          <w:p w:rsidR="008754D5" w:rsidRPr="008754D5" w:rsidRDefault="008754D5" w:rsidP="00C869F2">
            <w:pPr>
              <w:pStyle w:val="Sinespaciado"/>
              <w:rPr>
                <w:rFonts w:ascii="Arial" w:hAnsi="Arial" w:cs="Arial"/>
              </w:rPr>
            </w:pPr>
            <w:r w:rsidRPr="008754D5">
              <w:rPr>
                <w:rFonts w:ascii="Arial" w:hAnsi="Arial" w:cs="Arial"/>
              </w:rPr>
              <w:t xml:space="preserve">- servicio de instalación </w:t>
            </w:r>
          </w:p>
          <w:p w:rsidR="00C869F2" w:rsidRPr="008754D5" w:rsidRDefault="00AC14E8" w:rsidP="00C869F2">
            <w:pPr>
              <w:pStyle w:val="Sinespaciado"/>
              <w:rPr>
                <w:rFonts w:ascii="Arial" w:hAnsi="Arial" w:cs="Arial"/>
              </w:rPr>
            </w:pPr>
            <w:r w:rsidRPr="008754D5">
              <w:rPr>
                <w:rFonts w:ascii="Arial" w:hAnsi="Arial" w:cs="Arial"/>
              </w:rPr>
              <w:t>- (</w:t>
            </w:r>
            <w:r w:rsidR="00C869F2" w:rsidRPr="008754D5">
              <w:rPr>
                <w:rFonts w:ascii="Arial" w:hAnsi="Arial" w:cs="Arial"/>
              </w:rPr>
              <w:t xml:space="preserve"> </w:t>
            </w:r>
            <w:r w:rsidR="00681B9B">
              <w:rPr>
                <w:rFonts w:ascii="Arial" w:hAnsi="Arial" w:cs="Arial"/>
              </w:rPr>
              <w:t>7</w:t>
            </w:r>
            <w:r w:rsidRPr="008754D5">
              <w:rPr>
                <w:rFonts w:ascii="Arial" w:hAnsi="Arial" w:cs="Arial"/>
              </w:rPr>
              <w:t xml:space="preserve"> </w:t>
            </w:r>
            <w:r w:rsidR="00C869F2" w:rsidRPr="008754D5">
              <w:rPr>
                <w:rFonts w:ascii="Arial" w:hAnsi="Arial" w:cs="Arial"/>
              </w:rPr>
              <w:t>meses de servicio)</w:t>
            </w:r>
          </w:p>
          <w:p w:rsidR="00C869F2" w:rsidRPr="008754D5" w:rsidRDefault="00C869F2" w:rsidP="00C869F2">
            <w:pPr>
              <w:pStyle w:val="Sinespaciado"/>
              <w:rPr>
                <w:rFonts w:ascii="Arial" w:hAnsi="Arial" w:cs="Arial"/>
              </w:rPr>
            </w:pPr>
          </w:p>
          <w:p w:rsidR="00C869F2" w:rsidRPr="008754D5" w:rsidRDefault="00C869F2" w:rsidP="00C869F2">
            <w:pPr>
              <w:pStyle w:val="Sinespaciado"/>
              <w:rPr>
                <w:rFonts w:ascii="Arial" w:hAnsi="Arial" w:cs="Arial"/>
                <w:b/>
              </w:rPr>
            </w:pPr>
            <w:r w:rsidRPr="008754D5">
              <w:rPr>
                <w:rStyle w:val="w8qarf"/>
                <w:rFonts w:ascii="Arial" w:hAnsi="Arial" w:cs="Arial"/>
                <w:b/>
                <w:bCs/>
                <w:color w:val="202124"/>
                <w:shd w:val="clear" w:color="auto" w:fill="FFFFFF"/>
              </w:rPr>
              <w:t xml:space="preserve">Domicilio del inmueble: </w:t>
            </w:r>
            <w:r w:rsidRPr="008754D5">
              <w:rPr>
                <w:rStyle w:val="lrzxr"/>
                <w:rFonts w:ascii="Arial" w:hAnsi="Arial" w:cs="Arial"/>
                <w:color w:val="202124"/>
                <w:shd w:val="clear" w:color="auto" w:fill="FFFFFF"/>
              </w:rPr>
              <w:t xml:space="preserve">Rio de Janeiro S/N, </w:t>
            </w:r>
            <w:proofErr w:type="spellStart"/>
            <w:r w:rsidRPr="008754D5">
              <w:rPr>
                <w:rStyle w:val="lrzxr"/>
                <w:rFonts w:ascii="Arial" w:hAnsi="Arial" w:cs="Arial"/>
                <w:color w:val="202124"/>
                <w:shd w:val="clear" w:color="auto" w:fill="FFFFFF"/>
              </w:rPr>
              <w:t>Chulavista</w:t>
            </w:r>
            <w:proofErr w:type="spellEnd"/>
            <w:r w:rsidRPr="008754D5">
              <w:rPr>
                <w:rStyle w:val="lrzxr"/>
                <w:rFonts w:ascii="Arial" w:hAnsi="Arial" w:cs="Arial"/>
                <w:color w:val="202124"/>
                <w:shd w:val="clear" w:color="auto" w:fill="FFFFFF"/>
              </w:rPr>
              <w:t>, 45653 Hacienda Santa Fe, Jal.</w:t>
            </w:r>
          </w:p>
        </w:tc>
        <w:tc>
          <w:tcPr>
            <w:tcW w:w="1415" w:type="dxa"/>
            <w:tcBorders>
              <w:top w:val="single" w:sz="4" w:space="0" w:color="auto"/>
              <w:left w:val="nil"/>
              <w:bottom w:val="single" w:sz="4" w:space="0" w:color="auto"/>
              <w:right w:val="single" w:sz="4" w:space="0" w:color="auto"/>
            </w:tcBorders>
            <w:shd w:val="clear" w:color="auto" w:fill="auto"/>
            <w:noWrap/>
          </w:tcPr>
          <w:p w:rsidR="00C869F2" w:rsidRDefault="00681B9B" w:rsidP="00050DD2">
            <w:pPr>
              <w:spacing w:line="240" w:lineRule="auto"/>
              <w:jc w:val="center"/>
              <w:rPr>
                <w:rFonts w:ascii="Arial" w:hAnsi="Arial" w:cs="Arial"/>
              </w:rPr>
            </w:pPr>
            <w:r>
              <w:rPr>
                <w:rFonts w:ascii="Arial" w:hAnsi="Arial" w:cs="Arial"/>
              </w:rPr>
              <w:t>7</w:t>
            </w:r>
            <w:r w:rsidR="00AC14E8">
              <w:rPr>
                <w:rFonts w:ascii="Arial" w:hAnsi="Arial" w:cs="Arial"/>
              </w:rPr>
              <w:t xml:space="preserve"> meses</w:t>
            </w:r>
          </w:p>
        </w:tc>
        <w:tc>
          <w:tcPr>
            <w:tcW w:w="1104" w:type="dxa"/>
            <w:tcBorders>
              <w:top w:val="single" w:sz="4" w:space="0" w:color="auto"/>
              <w:left w:val="nil"/>
              <w:bottom w:val="single" w:sz="4" w:space="0" w:color="auto"/>
              <w:right w:val="single" w:sz="4" w:space="0" w:color="auto"/>
            </w:tcBorders>
          </w:tcPr>
          <w:p w:rsidR="00C869F2" w:rsidRDefault="00AC14E8" w:rsidP="00050DD2">
            <w:pPr>
              <w:jc w:val="center"/>
              <w:rPr>
                <w:rFonts w:ascii="Arial" w:hAnsi="Arial" w:cs="Arial"/>
              </w:rPr>
            </w:pPr>
            <w:r>
              <w:rPr>
                <w:rFonts w:ascii="Arial" w:hAnsi="Arial" w:cs="Arial"/>
              </w:rPr>
              <w:t>servicio</w:t>
            </w:r>
          </w:p>
        </w:tc>
      </w:tr>
    </w:tbl>
    <w:p w:rsidR="0018122C" w:rsidRDefault="0018122C"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833F8E" w:rsidRDefault="00833F8E" w:rsidP="006A50AB">
      <w:pPr>
        <w:spacing w:after="0" w:line="240" w:lineRule="auto"/>
        <w:jc w:val="both"/>
        <w:rPr>
          <w:b/>
        </w:rPr>
      </w:pPr>
    </w:p>
    <w:p w:rsidR="00504D4E" w:rsidRDefault="00504D4E" w:rsidP="00EB4D6C">
      <w:pPr>
        <w:spacing w:after="0" w:line="240" w:lineRule="auto"/>
        <w:rPr>
          <w:b/>
        </w:rPr>
      </w:pPr>
    </w:p>
    <w:p w:rsidR="0029512F" w:rsidRDefault="0029512F" w:rsidP="00EB4D6C">
      <w:pPr>
        <w:spacing w:after="0" w:line="240" w:lineRule="auto"/>
        <w:rPr>
          <w:b/>
        </w:rPr>
      </w:pPr>
    </w:p>
    <w:p w:rsidR="0029512F" w:rsidRDefault="0029512F"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833F8E" w:rsidRDefault="00833F8E"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18122C" w:rsidRDefault="0018122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833F8E" w:rsidRDefault="00833F8E"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A061CE" w:rsidRDefault="0018122C" w:rsidP="00833F8E">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1945510</wp:posOffset>
                </wp:positionH>
                <wp:positionV relativeFrom="page">
                  <wp:posOffset>6587972</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504D4E" w:rsidRDefault="00504D4E" w:rsidP="00BA63E2">
                            <w:pPr>
                              <w:pStyle w:val="Sinespaciado"/>
                              <w:jc w:val="center"/>
                              <w:rPr>
                                <w:rFonts w:ascii="Arial" w:hAnsi="Arial" w:cs="Arial"/>
                                <w:b/>
                                <w:lang w:val="es-ES"/>
                              </w:rPr>
                            </w:pPr>
                            <w:r w:rsidRPr="00504D4E">
                              <w:rPr>
                                <w:rFonts w:ascii="Arial" w:hAnsi="Arial" w:cs="Arial"/>
                                <w:b/>
                                <w:lang w:val="es-ES"/>
                              </w:rPr>
                              <w:t>Diana Laura Palacios Barajas</w:t>
                            </w:r>
                          </w:p>
                          <w:p w:rsidR="00504D4E" w:rsidRPr="00504D4E" w:rsidRDefault="00504D4E" w:rsidP="00504D4E">
                            <w:pPr>
                              <w:jc w:val="center"/>
                              <w:rPr>
                                <w:rFonts w:ascii="Arial" w:hAnsi="Arial" w:cs="Arial"/>
                              </w:rPr>
                            </w:pPr>
                            <w:r w:rsidRPr="00504D4E">
                              <w:rPr>
                                <w:rFonts w:ascii="Arial" w:hAnsi="Arial" w:cs="Arial"/>
                              </w:rPr>
                              <w:t>Directora General</w:t>
                            </w:r>
                            <w:r>
                              <w:rPr>
                                <w:rFonts w:ascii="Arial" w:hAnsi="Arial" w:cs="Arial"/>
                              </w:rPr>
                              <w:t xml:space="preserve"> del INDAJO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53.2pt;margin-top:518.7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" fillcolor="white [3201]" stroked="f" strokeweight=".5pt">
                <v:textbox>
                  <w:txbxContent>
                    <w:p w:rsidR="00395C01" w:rsidRPr="00504D4E" w:rsidRDefault="00504D4E" w:rsidP="00BA63E2">
                      <w:pPr>
                        <w:pStyle w:val="Sinespaciado"/>
                        <w:jc w:val="center"/>
                        <w:rPr>
                          <w:rFonts w:ascii="Arial" w:hAnsi="Arial" w:cs="Arial"/>
                          <w:b/>
                          <w:lang w:val="es-ES"/>
                        </w:rPr>
                      </w:pPr>
                      <w:r w:rsidRPr="00504D4E">
                        <w:rPr>
                          <w:rFonts w:ascii="Arial" w:hAnsi="Arial" w:cs="Arial"/>
                          <w:b/>
                          <w:lang w:val="es-ES"/>
                        </w:rPr>
                        <w:t>Diana Laura Palacios Barajas</w:t>
                      </w:r>
                    </w:p>
                    <w:p w:rsidR="00504D4E" w:rsidRPr="00504D4E" w:rsidRDefault="00504D4E" w:rsidP="00504D4E">
                      <w:pPr>
                        <w:jc w:val="center"/>
                        <w:rPr>
                          <w:rFonts w:ascii="Arial" w:hAnsi="Arial" w:cs="Arial"/>
                        </w:rPr>
                      </w:pPr>
                      <w:r w:rsidRPr="00504D4E">
                        <w:rPr>
                          <w:rFonts w:ascii="Arial" w:hAnsi="Arial" w:cs="Arial"/>
                        </w:rPr>
                        <w:t>Directora General</w:t>
                      </w:r>
                      <w:r>
                        <w:rPr>
                          <w:rFonts w:ascii="Arial" w:hAnsi="Arial" w:cs="Arial"/>
                        </w:rPr>
                        <w:t xml:space="preserve"> del INDAJO</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05" w:rsidRDefault="004A3C05">
      <w:pPr>
        <w:spacing w:after="0" w:line="240" w:lineRule="auto"/>
      </w:pPr>
      <w:r>
        <w:separator/>
      </w:r>
    </w:p>
  </w:endnote>
  <w:endnote w:type="continuationSeparator" w:id="0">
    <w:p w:rsidR="004A3C05" w:rsidRDefault="004A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05" w:rsidRDefault="004A3C05">
      <w:pPr>
        <w:spacing w:after="0" w:line="240" w:lineRule="auto"/>
      </w:pPr>
      <w:r>
        <w:separator/>
      </w:r>
    </w:p>
  </w:footnote>
  <w:footnote w:type="continuationSeparator" w:id="0">
    <w:p w:rsidR="004A3C05" w:rsidRDefault="004A3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30E9"/>
    <w:multiLevelType w:val="hybridMultilevel"/>
    <w:tmpl w:val="13421CE2"/>
    <w:lvl w:ilvl="0" w:tplc="77B0FC84">
      <w:start w:val="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823DB"/>
    <w:rsid w:val="0009334C"/>
    <w:rsid w:val="000A00C2"/>
    <w:rsid w:val="000A2186"/>
    <w:rsid w:val="000C6019"/>
    <w:rsid w:val="000D7EF4"/>
    <w:rsid w:val="001035DF"/>
    <w:rsid w:val="0011487B"/>
    <w:rsid w:val="00114D05"/>
    <w:rsid w:val="00115BD3"/>
    <w:rsid w:val="00116030"/>
    <w:rsid w:val="00116438"/>
    <w:rsid w:val="00121A40"/>
    <w:rsid w:val="00125D20"/>
    <w:rsid w:val="00146B6B"/>
    <w:rsid w:val="00147080"/>
    <w:rsid w:val="001514EC"/>
    <w:rsid w:val="001532BC"/>
    <w:rsid w:val="00167BA0"/>
    <w:rsid w:val="0018122C"/>
    <w:rsid w:val="001A5474"/>
    <w:rsid w:val="001A74E7"/>
    <w:rsid w:val="001B70D5"/>
    <w:rsid w:val="001D3206"/>
    <w:rsid w:val="001D5F1A"/>
    <w:rsid w:val="001E183A"/>
    <w:rsid w:val="00207F17"/>
    <w:rsid w:val="00217489"/>
    <w:rsid w:val="002877CF"/>
    <w:rsid w:val="0029512F"/>
    <w:rsid w:val="002A6EAF"/>
    <w:rsid w:val="002A7D2C"/>
    <w:rsid w:val="002B1B5E"/>
    <w:rsid w:val="002B4026"/>
    <w:rsid w:val="002B5C92"/>
    <w:rsid w:val="002E13DB"/>
    <w:rsid w:val="002F012D"/>
    <w:rsid w:val="002F0D77"/>
    <w:rsid w:val="002F6D44"/>
    <w:rsid w:val="002F74B2"/>
    <w:rsid w:val="0031011D"/>
    <w:rsid w:val="00312256"/>
    <w:rsid w:val="00327EF1"/>
    <w:rsid w:val="0033683E"/>
    <w:rsid w:val="00356515"/>
    <w:rsid w:val="003638E8"/>
    <w:rsid w:val="00366390"/>
    <w:rsid w:val="00371D19"/>
    <w:rsid w:val="0037277F"/>
    <w:rsid w:val="00383D76"/>
    <w:rsid w:val="0038435B"/>
    <w:rsid w:val="00395C01"/>
    <w:rsid w:val="003B20C5"/>
    <w:rsid w:val="003B781D"/>
    <w:rsid w:val="003D1CEA"/>
    <w:rsid w:val="003D2495"/>
    <w:rsid w:val="003E6714"/>
    <w:rsid w:val="003F6D61"/>
    <w:rsid w:val="004115CE"/>
    <w:rsid w:val="004244B5"/>
    <w:rsid w:val="00436B49"/>
    <w:rsid w:val="00441C9D"/>
    <w:rsid w:val="00442295"/>
    <w:rsid w:val="004454D9"/>
    <w:rsid w:val="004469FD"/>
    <w:rsid w:val="00457FE9"/>
    <w:rsid w:val="00472C44"/>
    <w:rsid w:val="00474E4D"/>
    <w:rsid w:val="00476DC9"/>
    <w:rsid w:val="00490EB8"/>
    <w:rsid w:val="004977AD"/>
    <w:rsid w:val="004A3C05"/>
    <w:rsid w:val="004C05F0"/>
    <w:rsid w:val="004D1137"/>
    <w:rsid w:val="004D270E"/>
    <w:rsid w:val="004F1110"/>
    <w:rsid w:val="004F6BA5"/>
    <w:rsid w:val="00504D4E"/>
    <w:rsid w:val="00511EE9"/>
    <w:rsid w:val="00523D74"/>
    <w:rsid w:val="005515E5"/>
    <w:rsid w:val="00556547"/>
    <w:rsid w:val="00556F13"/>
    <w:rsid w:val="00557621"/>
    <w:rsid w:val="00576FCB"/>
    <w:rsid w:val="005A0790"/>
    <w:rsid w:val="005A3346"/>
    <w:rsid w:val="005C4496"/>
    <w:rsid w:val="005C5E42"/>
    <w:rsid w:val="00604702"/>
    <w:rsid w:val="006246F9"/>
    <w:rsid w:val="00640D24"/>
    <w:rsid w:val="00647C7C"/>
    <w:rsid w:val="00652559"/>
    <w:rsid w:val="006622A0"/>
    <w:rsid w:val="00677616"/>
    <w:rsid w:val="00681B9B"/>
    <w:rsid w:val="00687EC6"/>
    <w:rsid w:val="00690DE2"/>
    <w:rsid w:val="006A50AB"/>
    <w:rsid w:val="006B52B9"/>
    <w:rsid w:val="006C5C14"/>
    <w:rsid w:val="006C776F"/>
    <w:rsid w:val="006D1DC6"/>
    <w:rsid w:val="006F1309"/>
    <w:rsid w:val="006F3196"/>
    <w:rsid w:val="006F4EFC"/>
    <w:rsid w:val="007330BD"/>
    <w:rsid w:val="00736FC2"/>
    <w:rsid w:val="00747405"/>
    <w:rsid w:val="00747653"/>
    <w:rsid w:val="0075412F"/>
    <w:rsid w:val="0078397B"/>
    <w:rsid w:val="007910F2"/>
    <w:rsid w:val="00793E93"/>
    <w:rsid w:val="00797B31"/>
    <w:rsid w:val="007C0BA9"/>
    <w:rsid w:val="007C6D7C"/>
    <w:rsid w:val="007D1A69"/>
    <w:rsid w:val="007D3D41"/>
    <w:rsid w:val="00833F8E"/>
    <w:rsid w:val="00844691"/>
    <w:rsid w:val="0085252A"/>
    <w:rsid w:val="008603F7"/>
    <w:rsid w:val="0086163E"/>
    <w:rsid w:val="00865877"/>
    <w:rsid w:val="008754D5"/>
    <w:rsid w:val="00880CCF"/>
    <w:rsid w:val="0088221A"/>
    <w:rsid w:val="00890F49"/>
    <w:rsid w:val="008A4028"/>
    <w:rsid w:val="008B3EC8"/>
    <w:rsid w:val="008B4421"/>
    <w:rsid w:val="008C44ED"/>
    <w:rsid w:val="008D56B6"/>
    <w:rsid w:val="008F4623"/>
    <w:rsid w:val="008F7C17"/>
    <w:rsid w:val="00921747"/>
    <w:rsid w:val="009307BD"/>
    <w:rsid w:val="00940686"/>
    <w:rsid w:val="009434DF"/>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97916"/>
    <w:rsid w:val="00AA122A"/>
    <w:rsid w:val="00AC14E8"/>
    <w:rsid w:val="00AE1F32"/>
    <w:rsid w:val="00AE4F9A"/>
    <w:rsid w:val="00AF503E"/>
    <w:rsid w:val="00B04635"/>
    <w:rsid w:val="00B20666"/>
    <w:rsid w:val="00B744E2"/>
    <w:rsid w:val="00B81454"/>
    <w:rsid w:val="00BA6270"/>
    <w:rsid w:val="00BA63E2"/>
    <w:rsid w:val="00C00AFD"/>
    <w:rsid w:val="00C10FFF"/>
    <w:rsid w:val="00C1214D"/>
    <w:rsid w:val="00C24C25"/>
    <w:rsid w:val="00C46B21"/>
    <w:rsid w:val="00C61E60"/>
    <w:rsid w:val="00C818FC"/>
    <w:rsid w:val="00C84EC8"/>
    <w:rsid w:val="00C859A3"/>
    <w:rsid w:val="00C869F2"/>
    <w:rsid w:val="00C873AD"/>
    <w:rsid w:val="00CB5212"/>
    <w:rsid w:val="00CC20B4"/>
    <w:rsid w:val="00CD3233"/>
    <w:rsid w:val="00CF7227"/>
    <w:rsid w:val="00D06532"/>
    <w:rsid w:val="00D17676"/>
    <w:rsid w:val="00D25EC9"/>
    <w:rsid w:val="00D31D20"/>
    <w:rsid w:val="00DA017F"/>
    <w:rsid w:val="00DB17A9"/>
    <w:rsid w:val="00DC7910"/>
    <w:rsid w:val="00DE7B82"/>
    <w:rsid w:val="00E05DC1"/>
    <w:rsid w:val="00E0733B"/>
    <w:rsid w:val="00E2313C"/>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B38CE"/>
    <w:rsid w:val="00FD5616"/>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4D1BB-AA8D-44CB-A9CB-E003CD7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character" w:customStyle="1" w:styleId="w8qarf">
    <w:name w:val="w8qarf"/>
    <w:basedOn w:val="Fuentedeprrafopredeter"/>
    <w:rsid w:val="00C869F2"/>
  </w:style>
  <w:style w:type="character" w:customStyle="1" w:styleId="lrzxr">
    <w:name w:val="lrzxr"/>
    <w:basedOn w:val="Fuentedeprrafopredeter"/>
    <w:rsid w:val="00C8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4DCF-82CF-4F22-8DDD-1AE40640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11</cp:revision>
  <cp:lastPrinted>2024-02-27T18:27:00Z</cp:lastPrinted>
  <dcterms:created xsi:type="dcterms:W3CDTF">2024-02-12T16:53:00Z</dcterms:created>
  <dcterms:modified xsi:type="dcterms:W3CDTF">2024-02-27T18:40:00Z</dcterms:modified>
</cp:coreProperties>
</file>