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024CE9" w:rsidP="00387EB4">
      <w:pPr>
        <w:jc w:val="center"/>
        <w:rPr>
          <w:b/>
          <w:bCs/>
        </w:rPr>
      </w:pPr>
      <w:r>
        <w:rPr>
          <w:b/>
          <w:bCs/>
        </w:rPr>
        <w:t>OPD/IMMT/SC/072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D04EDB">
        <w:rPr>
          <w:b/>
          <w:bCs/>
        </w:rPr>
        <w:t xml:space="preserve"> CONTRATACION DE SERVICIOS PROFESIONALES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024CE9" w:rsidP="005C6BBF">
      <w:pPr>
        <w:jc w:val="center"/>
        <w:rPr>
          <w:b/>
          <w:bCs/>
        </w:rPr>
      </w:pPr>
      <w:r>
        <w:rPr>
          <w:b/>
          <w:bCs/>
        </w:rPr>
        <w:t>Solicitudes: 072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B55249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7046AD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  <w:p w:rsidR="002F5F7E" w:rsidRPr="00E046AF" w:rsidRDefault="002F5F7E" w:rsidP="00B55249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B55249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B55249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24CE9" w:rsidP="00B55249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19/12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024CE9" w:rsidP="00E046A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29/12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024CE9" w:rsidP="005C6BB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29/12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723C7C" w:rsidRDefault="00723C7C" w:rsidP="005C6BBF">
      <w:pPr>
        <w:jc w:val="both"/>
      </w:pPr>
    </w:p>
    <w:p w:rsidR="00723C7C" w:rsidRDefault="00723C7C" w:rsidP="005C6BBF">
      <w:pPr>
        <w:jc w:val="both"/>
      </w:pPr>
    </w:p>
    <w:p w:rsidR="00723C7C" w:rsidRDefault="00723C7C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8"/>
        <w:gridCol w:w="2787"/>
        <w:gridCol w:w="1524"/>
        <w:gridCol w:w="1221"/>
        <w:gridCol w:w="1221"/>
        <w:gridCol w:w="942"/>
      </w:tblGrid>
      <w:tr w:rsidR="00983FCF" w:rsidRPr="00137DC2" w:rsidTr="00983FCF">
        <w:trPr>
          <w:trHeight w:val="5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Default="00983FCF" w:rsidP="00983FCF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Default="00983FCF" w:rsidP="00983FCF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CF" w:rsidRPr="0042344F" w:rsidRDefault="00983FCF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U/M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cantidad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E51A7" w:rsidP="009E51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Precio </w:t>
            </w:r>
            <w:r w:rsidR="00983FCF">
              <w:rPr>
                <w:b/>
                <w:bCs/>
              </w:rPr>
              <w:t>unitario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E51A7" w:rsidP="00983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Precio partida</w:t>
            </w:r>
          </w:p>
        </w:tc>
      </w:tr>
      <w:tr w:rsidR="00983FCF" w:rsidRPr="00137DC2" w:rsidTr="00983FCF">
        <w:trPr>
          <w:trHeight w:val="5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E51A7" w:rsidP="00983FC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Contratación </w:t>
            </w:r>
            <w:proofErr w:type="gramStart"/>
            <w:r>
              <w:rPr>
                <w:b/>
                <w:bCs/>
              </w:rPr>
              <w:t xml:space="preserve">de </w:t>
            </w:r>
            <w:r w:rsidR="00983FCF">
              <w:rPr>
                <w:b/>
                <w:bCs/>
              </w:rPr>
              <w:t xml:space="preserve"> especialista</w:t>
            </w:r>
            <w:proofErr w:type="gramEnd"/>
            <w:r w:rsidR="00983FCF">
              <w:rPr>
                <w:b/>
                <w:bCs/>
              </w:rPr>
              <w:t xml:space="preserve"> para planeación, seguimiento y operación de Programa de Prevención de Violencia de Género en el Municipio, con conocimientos en ciencias sociales o humanidades comprobables con carta de pasante o título profesional</w:t>
            </w:r>
          </w:p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 de contratación será a partir del 22 de enero al 22 de marzo del 2024 y del 08 de abril al 08 de agosto 2024</w:t>
            </w:r>
          </w:p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Pago estimaciones mensuales.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F92517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983FCF" w:rsidRPr="00137DC2" w:rsidTr="00983FCF">
        <w:trPr>
          <w:trHeight w:val="5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E51A7" w:rsidP="00983FC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Contratación </w:t>
            </w:r>
            <w:proofErr w:type="gramStart"/>
            <w:r>
              <w:rPr>
                <w:b/>
                <w:bCs/>
              </w:rPr>
              <w:t>de  especialista</w:t>
            </w:r>
            <w:proofErr w:type="gramEnd"/>
            <w:r w:rsidR="00983FCF">
              <w:rPr>
                <w:b/>
                <w:bCs/>
              </w:rPr>
              <w:t xml:space="preserve"> para planeación, seguimiento y operación de Programa de Prevención de Violencia de Género en el Municipio, con conocimientos en ciencias sociales o humanidades comprobables con carta de pasante o título profesional</w:t>
            </w:r>
          </w:p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Tiempo de contratación será a partir del 22 de enero al 22 de marzo del 2024 y del 08 de abril al 08 de agosto 2024</w:t>
            </w:r>
          </w:p>
          <w:p w:rsidR="00983FCF" w:rsidRDefault="00983FCF" w:rsidP="00983FCF">
            <w:pPr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Pago estimaciones mensuales.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F92517" w:rsidP="00983FC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FCF" w:rsidRDefault="00983FCF" w:rsidP="00983FCF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45035A" w:rsidRDefault="0045035A" w:rsidP="00F32677">
      <w:pPr>
        <w:jc w:val="both"/>
      </w:pPr>
    </w:p>
    <w:p w:rsidR="0045035A" w:rsidRDefault="0045035A" w:rsidP="00F32677">
      <w:pPr>
        <w:jc w:val="both"/>
      </w:pPr>
    </w:p>
    <w:p w:rsidR="00F32677" w:rsidRDefault="00F32677" w:rsidP="00F32677">
      <w:pPr>
        <w:jc w:val="both"/>
      </w:pPr>
      <w:r>
        <w:lastRenderedPageBreak/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lastRenderedPageBreak/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>Jefatura A</w:t>
      </w:r>
      <w:r w:rsidR="0045035A">
        <w:t>d</w:t>
      </w:r>
      <w:r>
        <w:t xml:space="preserve">ministrativa  </w:t>
      </w:r>
      <w:bookmarkStart w:id="0" w:name="_GoBack"/>
      <w:bookmarkEnd w:id="0"/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5D" w:rsidRDefault="008B125D" w:rsidP="00913699">
      <w:pPr>
        <w:spacing w:after="0" w:line="240" w:lineRule="auto"/>
      </w:pPr>
      <w:r>
        <w:separator/>
      </w:r>
    </w:p>
  </w:endnote>
  <w:endnote w:type="continuationSeparator" w:id="0">
    <w:p w:rsidR="008B125D" w:rsidRDefault="008B125D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5D" w:rsidRDefault="008B125D" w:rsidP="00913699">
      <w:pPr>
        <w:spacing w:after="0" w:line="240" w:lineRule="auto"/>
      </w:pPr>
      <w:r>
        <w:separator/>
      </w:r>
    </w:p>
  </w:footnote>
  <w:footnote w:type="continuationSeparator" w:id="0">
    <w:p w:rsidR="008B125D" w:rsidRDefault="008B125D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24CE9"/>
    <w:rsid w:val="000A50F6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33A8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5035A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5F0AFC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23C7C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4F93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B125D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3FCF"/>
    <w:rsid w:val="009840FF"/>
    <w:rsid w:val="009A7017"/>
    <w:rsid w:val="009C32D5"/>
    <w:rsid w:val="009C4620"/>
    <w:rsid w:val="009E51A7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203B4"/>
    <w:rsid w:val="00B50391"/>
    <w:rsid w:val="00B55249"/>
    <w:rsid w:val="00B7057A"/>
    <w:rsid w:val="00B750B1"/>
    <w:rsid w:val="00B917CE"/>
    <w:rsid w:val="00BA1897"/>
    <w:rsid w:val="00BA4355"/>
    <w:rsid w:val="00BB0A67"/>
    <w:rsid w:val="00BB7FEB"/>
    <w:rsid w:val="00BD1233"/>
    <w:rsid w:val="00BF21BE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6EBC"/>
    <w:rsid w:val="00DC07FC"/>
    <w:rsid w:val="00DC6E3D"/>
    <w:rsid w:val="00DD2932"/>
    <w:rsid w:val="00DE0918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A79B8"/>
    <w:rsid w:val="00EB3AEF"/>
    <w:rsid w:val="00EC068D"/>
    <w:rsid w:val="00EC2DCF"/>
    <w:rsid w:val="00ED03AA"/>
    <w:rsid w:val="00ED223D"/>
    <w:rsid w:val="00EE1E7E"/>
    <w:rsid w:val="00EF7FD9"/>
    <w:rsid w:val="00F171D7"/>
    <w:rsid w:val="00F23C20"/>
    <w:rsid w:val="00F26CE5"/>
    <w:rsid w:val="00F32677"/>
    <w:rsid w:val="00F33C30"/>
    <w:rsid w:val="00F573ED"/>
    <w:rsid w:val="00F7176F"/>
    <w:rsid w:val="00F80103"/>
    <w:rsid w:val="00F867CC"/>
    <w:rsid w:val="00F8734B"/>
    <w:rsid w:val="00F90502"/>
    <w:rsid w:val="00F91BC8"/>
    <w:rsid w:val="00F92517"/>
    <w:rsid w:val="00FA2D39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4AED"/>
  <w15:docId w15:val="{06699688-3045-406E-990F-18B977A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1231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ENRIQUE BERNAL DORANTES</dc:creator>
  <cp:keywords/>
  <dc:description/>
  <cp:lastModifiedBy>FERMIN VAZQUEZ CARRANZA</cp:lastModifiedBy>
  <cp:revision>12</cp:revision>
  <cp:lastPrinted>2023-12-19T21:53:00Z</cp:lastPrinted>
  <dcterms:created xsi:type="dcterms:W3CDTF">2023-12-19T20:31:00Z</dcterms:created>
  <dcterms:modified xsi:type="dcterms:W3CDTF">2023-12-19T21:54:00Z</dcterms:modified>
</cp:coreProperties>
</file>