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5E342E">
      <w:pPr>
        <w:spacing w:after="0"/>
        <w:ind w:right="622" w:firstLine="708"/>
        <w:jc w:val="center"/>
        <w:rPr>
          <w:rFonts w:ascii="Arial" w:hAnsi="Arial" w:eastAsia="Arial" w:cs="Arial"/>
          <w:b/>
        </w:rPr>
      </w:pPr>
      <w:r>
        <w:rPr>
          <w:rFonts w:ascii="Arial" w:hAnsi="Arial" w:eastAsia="Arial" w:cs="Arial"/>
          <w:b/>
        </w:rPr>
        <w:t>MUNICIPIO DE TLAJOMULCO DE ZÚÑIGA, JALISCO</w:t>
      </w:r>
    </w:p>
    <w:p w14:paraId="630489D2">
      <w:pPr>
        <w:spacing w:after="0" w:line="240" w:lineRule="auto"/>
        <w:ind w:right="622"/>
        <w:jc w:val="center"/>
        <w:rPr>
          <w:rFonts w:ascii="Arial" w:hAnsi="Arial" w:eastAsia="Arial" w:cs="Arial"/>
          <w:b/>
        </w:rPr>
      </w:pPr>
      <w:r>
        <w:rPr>
          <w:rFonts w:ascii="Arial" w:hAnsi="Arial" w:eastAsia="Arial" w:cs="Arial"/>
          <w:b/>
        </w:rPr>
        <w:t xml:space="preserve">OFICIALÍA MAYOR </w:t>
      </w:r>
    </w:p>
    <w:p w14:paraId="40283793">
      <w:pPr>
        <w:spacing w:after="0" w:line="240" w:lineRule="auto"/>
        <w:ind w:right="622"/>
        <w:jc w:val="center"/>
        <w:rPr>
          <w:rFonts w:ascii="Arial" w:hAnsi="Arial" w:eastAsia="Arial" w:cs="Arial"/>
          <w:b/>
        </w:rPr>
      </w:pPr>
      <w:r>
        <w:rPr>
          <w:rFonts w:ascii="Arial" w:hAnsi="Arial" w:eastAsia="Arial" w:cs="Arial"/>
          <w:b/>
        </w:rPr>
        <w:t xml:space="preserve">“CONVOCATORIA DE LICITACIÓN PÚBLICA </w:t>
      </w:r>
      <w:r>
        <w:rPr>
          <w:rFonts w:hint="default" w:ascii="Arial" w:hAnsi="Arial" w:eastAsia="Arial" w:cs="Arial"/>
          <w:b/>
          <w:lang w:val="es-MX"/>
        </w:rPr>
        <w:t xml:space="preserve">LOCAL </w:t>
      </w:r>
      <w:r>
        <w:rPr>
          <w:rFonts w:ascii="Arial" w:hAnsi="Arial" w:eastAsia="Arial" w:cs="Arial"/>
          <w:b/>
        </w:rPr>
        <w:t>”</w:t>
      </w:r>
    </w:p>
    <w:p w14:paraId="61E8C6A9">
      <w:pPr>
        <w:spacing w:after="0" w:line="240" w:lineRule="auto"/>
        <w:ind w:right="622"/>
        <w:jc w:val="center"/>
        <w:rPr>
          <w:rFonts w:hint="default" w:ascii="Arial" w:hAnsi="Arial" w:eastAsia="Arial" w:cs="Arial"/>
          <w:b/>
          <w:lang w:val="es-MX"/>
        </w:rPr>
      </w:pPr>
      <w:bookmarkStart w:id="0" w:name="_heading=h.gjdgxs" w:colFirst="0" w:colLast="0"/>
      <w:bookmarkEnd w:id="0"/>
      <w:bookmarkStart w:id="1" w:name="_Hlk137652614"/>
      <w:r>
        <w:rPr>
          <w:rFonts w:ascii="Arial" w:hAnsi="Arial" w:eastAsia="Arial" w:cs="Arial"/>
          <w:b/>
          <w:bCs/>
          <w:lang w:val="es-MX"/>
        </w:rPr>
        <w:t>OM-52/2024</w:t>
      </w:r>
    </w:p>
    <w:p w14:paraId="071F9813">
      <w:pPr>
        <w:spacing w:after="0" w:line="240" w:lineRule="auto"/>
        <w:ind w:right="622"/>
        <w:jc w:val="center"/>
        <w:rPr>
          <w:rFonts w:ascii="Arial" w:hAnsi="Arial" w:eastAsia="Arial" w:cs="Arial"/>
          <w:b/>
        </w:rPr>
      </w:pPr>
      <w:bookmarkStart w:id="2" w:name="_Hlk133395109"/>
      <w:r>
        <w:rPr>
          <w:rFonts w:ascii="Arial" w:hAnsi="Arial" w:eastAsia="Arial" w:cs="Arial"/>
          <w:b/>
        </w:rPr>
        <w:t>“</w:t>
      </w:r>
      <w:bookmarkEnd w:id="2"/>
      <w:r>
        <w:rPr>
          <w:rFonts w:ascii="Arial" w:hAnsi="Arial" w:eastAsia="Arial" w:cs="Arial"/>
          <w:b/>
        </w:rPr>
        <w:t xml:space="preserve">ADQUISICIÓN </w:t>
      </w:r>
      <w:r>
        <w:rPr>
          <w:rFonts w:ascii="Arial" w:hAnsi="Arial" w:eastAsia="Arial" w:cs="Arial"/>
          <w:b/>
          <w:lang w:val="es-MX"/>
        </w:rPr>
        <w:t xml:space="preserve">DEL </w:t>
      </w:r>
      <w:bookmarkEnd w:id="1"/>
      <w:r>
        <w:rPr>
          <w:rFonts w:ascii="Arial" w:hAnsi="Arial" w:eastAsia="Arial" w:cs="Arial"/>
          <w:b/>
          <w:lang w:val="es-MX"/>
        </w:rPr>
        <w:t>SERVICIO DE ACTUALIZACIÓN DE RIESGOS GEOLÓGICOS E HIDROMETEROLOGICOS PARA EL GOBIERNO MUNICIPAL DE TLAJOMULCO DE ZÚÑIGA, JALISCO</w:t>
      </w:r>
    </w:p>
    <w:p w14:paraId="14C5B00A">
      <w:pPr>
        <w:spacing w:after="0" w:line="240" w:lineRule="auto"/>
        <w:ind w:right="622"/>
        <w:jc w:val="center"/>
        <w:rPr>
          <w:rFonts w:ascii="Arial" w:hAnsi="Arial" w:eastAsia="Arial" w:cs="Arial"/>
          <w:b/>
        </w:rPr>
      </w:pPr>
    </w:p>
    <w:p w14:paraId="6509BE6A">
      <w:pPr>
        <w:pBdr>
          <w:top w:val="none" w:color="auto" w:sz="0" w:space="0"/>
          <w:left w:val="none" w:color="auto" w:sz="0" w:space="0"/>
          <w:bottom w:val="none" w:color="auto" w:sz="0" w:space="0"/>
          <w:right w:val="none" w:color="auto" w:sz="0" w:space="0"/>
          <w:between w:val="none" w:color="auto" w:sz="0" w:space="0"/>
        </w:pBdr>
        <w:spacing w:after="0"/>
        <w:ind w:right="622"/>
        <w:jc w:val="both"/>
        <w:rPr>
          <w:rFonts w:ascii="Arial" w:hAnsi="Arial" w:eastAsia="Arial" w:cs="Arial"/>
          <w:b/>
          <w:color w:val="000000"/>
        </w:rPr>
      </w:pPr>
      <w:r>
        <w:rPr>
          <w:rFonts w:ascii="Arial" w:hAnsi="Arial" w:eastAsia="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w:t>
      </w:r>
      <w:r>
        <w:rPr>
          <w:rFonts w:hint="default" w:ascii="Arial" w:hAnsi="Arial" w:eastAsia="Arial" w:cs="Arial"/>
          <w:color w:val="000000"/>
          <w:lang w:val="es-MX"/>
        </w:rPr>
        <w:t>LOCAL</w:t>
      </w:r>
      <w:r>
        <w:rPr>
          <w:rFonts w:ascii="Arial" w:hAnsi="Arial" w:eastAsia="Arial" w:cs="Arial"/>
          <w:color w:val="000000"/>
        </w:rPr>
        <w:t xml:space="preserve"> para la </w:t>
      </w:r>
      <w:r>
        <w:rPr>
          <w:rFonts w:ascii="Arial" w:hAnsi="Arial" w:eastAsia="Arial" w:cs="Arial"/>
          <w:b/>
          <w:color w:val="000000"/>
        </w:rPr>
        <w:t xml:space="preserve">“ADQUISICIÓN </w:t>
      </w:r>
      <w:r>
        <w:rPr>
          <w:rFonts w:ascii="Arial" w:hAnsi="Arial" w:eastAsia="Arial" w:cs="Arial"/>
          <w:b/>
          <w:color w:val="000000"/>
          <w:lang w:val="es-MX"/>
        </w:rPr>
        <w:t>DEL SERVICIO DE ACTUALIZACIÓN DE RIESGOS GEOLÓGICOS E HIDROMETEROLOGICOS PARA EL GOBIERNO MUNICIPAL DE TLAJOMULCO DE ZÚÑIGA, JALISCO</w:t>
      </w:r>
      <w:r>
        <w:rPr>
          <w:rFonts w:ascii="Arial" w:hAnsi="Arial" w:eastAsia="Arial" w:cs="Arial"/>
          <w:b/>
          <w:color w:val="000000"/>
        </w:rPr>
        <w:t xml:space="preserve">”, </w:t>
      </w:r>
      <w:r>
        <w:rPr>
          <w:rFonts w:ascii="Arial" w:hAnsi="Arial" w:eastAsia="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pPr>
        <w:pBdr>
          <w:top w:val="none" w:color="auto" w:sz="0" w:space="0"/>
          <w:left w:val="none" w:color="auto" w:sz="0" w:space="0"/>
          <w:bottom w:val="none" w:color="auto" w:sz="0" w:space="0"/>
          <w:right w:val="none" w:color="auto" w:sz="0" w:space="0"/>
          <w:between w:val="none" w:color="auto" w:sz="0" w:space="0"/>
        </w:pBdr>
        <w:spacing w:after="0"/>
        <w:ind w:right="622"/>
        <w:jc w:val="both"/>
        <w:rPr>
          <w:rFonts w:ascii="Arial" w:hAnsi="Arial" w:eastAsia="Arial" w:cs="Arial"/>
          <w:b/>
          <w:color w:val="000000"/>
        </w:rPr>
      </w:pPr>
    </w:p>
    <w:p w14:paraId="00C61D5A">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center"/>
        <w:rPr>
          <w:rFonts w:ascii="Arial" w:hAnsi="Arial" w:eastAsia="Arial" w:cs="Arial"/>
          <w:b/>
          <w:color w:val="000000"/>
        </w:rPr>
      </w:pPr>
      <w:r>
        <w:rPr>
          <w:rFonts w:ascii="Arial" w:hAnsi="Arial" w:eastAsia="Arial" w:cs="Arial"/>
          <w:b/>
          <w:color w:val="000000"/>
        </w:rPr>
        <w:t>CONVOCATORIA:</w:t>
      </w:r>
    </w:p>
    <w:p w14:paraId="4B60BDD1">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center"/>
        <w:rPr>
          <w:rFonts w:ascii="Arial" w:hAnsi="Arial" w:eastAsia="Arial" w:cs="Arial"/>
          <w:b/>
          <w:color w:val="000000"/>
        </w:rPr>
      </w:pPr>
      <w:r>
        <w:rPr>
          <w:rFonts w:ascii="Arial" w:hAnsi="Arial" w:eastAsia="Arial" w:cs="Arial"/>
          <w:b/>
          <w:color w:val="000000"/>
        </w:rPr>
        <w:t>CRONOGRAMA</w:t>
      </w:r>
    </w:p>
    <w:p w14:paraId="595ED6A3">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center"/>
        <w:rPr>
          <w:rFonts w:ascii="Arial" w:hAnsi="Arial" w:eastAsia="Arial" w:cs="Arial"/>
          <w:b/>
          <w:color w:val="000000"/>
        </w:rPr>
      </w:pPr>
    </w:p>
    <w:tbl>
      <w:tblPr>
        <w:tblStyle w:val="161"/>
        <w:tblW w:w="94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15" w:type="dxa"/>
          <w:bottom w:w="0" w:type="dxa"/>
          <w:right w:w="115" w:type="dxa"/>
        </w:tblCellMar>
      </w:tblPr>
      <w:tblGrid>
        <w:gridCol w:w="4819"/>
        <w:gridCol w:w="4679"/>
      </w:tblGrid>
      <w:tr w14:paraId="7355A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3" w:hRule="atLeast"/>
        </w:trPr>
        <w:tc>
          <w:tcPr>
            <w:tcW w:w="4819" w:type="dxa"/>
            <w:shd w:val="clear" w:color="auto" w:fill="auto"/>
          </w:tcPr>
          <w:p w14:paraId="265D1D1C">
            <w:pPr>
              <w:spacing w:after="0"/>
              <w:jc w:val="both"/>
              <w:rPr>
                <w:rFonts w:ascii="Arial" w:hAnsi="Arial" w:eastAsia="Arial" w:cs="Arial"/>
                <w:color w:val="000000"/>
              </w:rPr>
            </w:pPr>
            <w:r>
              <w:rPr>
                <w:rFonts w:ascii="Arial" w:hAnsi="Arial" w:eastAsia="Arial" w:cs="Arial"/>
                <w:color w:val="000000"/>
              </w:rPr>
              <w:t>Número de Licitación.</w:t>
            </w:r>
          </w:p>
        </w:tc>
        <w:tc>
          <w:tcPr>
            <w:tcW w:w="4679" w:type="dxa"/>
            <w:shd w:val="clear" w:color="auto" w:fill="auto"/>
          </w:tcPr>
          <w:p w14:paraId="5D32723E">
            <w:pPr>
              <w:spacing w:after="0"/>
              <w:ind w:right="622"/>
              <w:jc w:val="both"/>
              <w:rPr>
                <w:rFonts w:ascii="Arial" w:hAnsi="Arial" w:eastAsia="Arial" w:cs="Arial"/>
              </w:rPr>
            </w:pPr>
            <w:r>
              <w:rPr>
                <w:rFonts w:ascii="Arial" w:hAnsi="Arial" w:eastAsia="Arial" w:cs="Arial"/>
                <w:b/>
                <w:bCs/>
                <w:lang w:val="es-MX"/>
              </w:rPr>
              <w:t>OM-52/2024</w:t>
            </w:r>
            <w:r>
              <w:rPr>
                <w:rFonts w:ascii="Arial" w:hAnsi="Arial" w:eastAsia="Arial" w:cs="Arial"/>
                <w:color w:val="000000"/>
              </w:rPr>
              <w:t xml:space="preserve"> </w:t>
            </w:r>
          </w:p>
        </w:tc>
      </w:tr>
      <w:tr w14:paraId="76F0A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372BD5F6">
            <w:pPr>
              <w:spacing w:after="0"/>
              <w:jc w:val="both"/>
              <w:rPr>
                <w:rFonts w:ascii="Arial" w:hAnsi="Arial" w:eastAsia="Arial" w:cs="Arial"/>
                <w:color w:val="000000"/>
              </w:rPr>
            </w:pPr>
            <w:r>
              <w:rPr>
                <w:rFonts w:ascii="Arial" w:hAnsi="Arial" w:eastAsia="Arial" w:cs="Arial"/>
                <w:color w:val="000000"/>
              </w:rPr>
              <w:t>Pago de Derechos de las Bases.</w:t>
            </w:r>
          </w:p>
        </w:tc>
        <w:tc>
          <w:tcPr>
            <w:tcW w:w="4679" w:type="dxa"/>
            <w:shd w:val="clear" w:color="auto" w:fill="auto"/>
          </w:tcPr>
          <w:p w14:paraId="27BC1EA7">
            <w:pPr>
              <w:spacing w:after="0"/>
              <w:ind w:right="-105"/>
              <w:jc w:val="both"/>
              <w:rPr>
                <w:rFonts w:ascii="Arial" w:hAnsi="Arial" w:eastAsia="Arial" w:cs="Arial"/>
                <w:color w:val="000000"/>
              </w:rPr>
            </w:pPr>
            <w:r>
              <w:rPr>
                <w:rFonts w:ascii="Arial" w:hAnsi="Arial" w:eastAsia="Arial" w:cs="Arial"/>
                <w:b/>
                <w:color w:val="000000"/>
              </w:rPr>
              <w:t>$</w:t>
            </w:r>
            <w:r>
              <w:rPr>
                <w:rFonts w:hint="default" w:ascii="Arial" w:hAnsi="Arial" w:eastAsia="Arial" w:cs="Arial"/>
                <w:b/>
                <w:color w:val="000000"/>
                <w:lang w:val="es-MX"/>
              </w:rPr>
              <w:t>383</w:t>
            </w:r>
            <w:r>
              <w:rPr>
                <w:rFonts w:ascii="Arial" w:hAnsi="Arial" w:eastAsia="Arial" w:cs="Arial"/>
                <w:b/>
                <w:color w:val="000000"/>
              </w:rPr>
              <w:t>.00</w:t>
            </w:r>
            <w:r>
              <w:rPr>
                <w:rFonts w:ascii="Arial" w:hAnsi="Arial" w:eastAsia="Arial" w:cs="Arial"/>
                <w:color w:val="000000"/>
              </w:rPr>
              <w:t xml:space="preserve"> de conformidad con el artículo 143 fracción IX de la Ley de Ingresos del Municipio de Tlajomulco de Zúñiga, Jalisco.</w:t>
            </w:r>
          </w:p>
        </w:tc>
      </w:tr>
      <w:tr w14:paraId="11CC9E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0A954216">
            <w:pPr>
              <w:tabs>
                <w:tab w:val="right" w:pos="4437"/>
              </w:tabs>
              <w:spacing w:after="0"/>
              <w:jc w:val="both"/>
              <w:rPr>
                <w:rFonts w:ascii="Arial" w:hAnsi="Arial" w:eastAsia="Arial" w:cs="Arial"/>
                <w:color w:val="000000"/>
              </w:rPr>
            </w:pPr>
            <w:r>
              <w:rPr>
                <w:rFonts w:ascii="Arial" w:hAnsi="Arial" w:eastAsia="Arial" w:cs="Arial"/>
                <w:color w:val="000000"/>
              </w:rPr>
              <w:t>Aprobación de Bases por el Comité.</w:t>
            </w:r>
          </w:p>
        </w:tc>
        <w:tc>
          <w:tcPr>
            <w:tcW w:w="4679" w:type="dxa"/>
            <w:shd w:val="clear" w:color="auto" w:fill="auto"/>
          </w:tcPr>
          <w:p w14:paraId="1B150E27">
            <w:pPr>
              <w:ind w:right="-105"/>
              <w:jc w:val="both"/>
              <w:rPr>
                <w:rFonts w:ascii="Arial" w:hAnsi="Arial" w:eastAsia="Arial" w:cs="Arial"/>
                <w:color w:val="000000"/>
              </w:rPr>
            </w:pPr>
            <w:r>
              <w:rPr>
                <w:rFonts w:ascii="Arial" w:hAnsi="Arial" w:eastAsia="Arial" w:cs="Arial"/>
                <w:color w:val="000000"/>
              </w:rPr>
              <w:t xml:space="preserve">Viernes </w:t>
            </w:r>
            <w:r>
              <w:rPr>
                <w:rFonts w:hint="default" w:ascii="Arial" w:hAnsi="Arial" w:eastAsia="Arial" w:cs="Arial"/>
                <w:b/>
                <w:bCs/>
                <w:color w:val="000000"/>
                <w:lang w:val="es-MX"/>
              </w:rPr>
              <w:t xml:space="preserve">26 </w:t>
            </w:r>
            <w:r>
              <w:rPr>
                <w:rFonts w:ascii="Arial" w:hAnsi="Arial" w:eastAsia="Arial" w:cs="Arial"/>
                <w:b/>
                <w:bCs/>
                <w:color w:val="000000"/>
              </w:rPr>
              <w:t xml:space="preserve">de </w:t>
            </w:r>
            <w:r>
              <w:rPr>
                <w:rFonts w:hint="default" w:ascii="Arial" w:hAnsi="Arial" w:eastAsia="Arial" w:cs="Arial"/>
                <w:b/>
                <w:bCs/>
                <w:color w:val="000000"/>
                <w:lang w:val="es-MX"/>
              </w:rPr>
              <w:t>j</w:t>
            </w:r>
            <w:r>
              <w:rPr>
                <w:rFonts w:hint="default" w:ascii="Arial" w:hAnsi="Arial" w:eastAsia="Arial" w:cs="Arial"/>
                <w:b/>
                <w:color w:val="000000"/>
                <w:lang w:val="es-MX"/>
              </w:rPr>
              <w:t xml:space="preserve">ulio </w:t>
            </w:r>
            <w:r>
              <w:rPr>
                <w:rFonts w:ascii="Arial" w:hAnsi="Arial" w:eastAsia="Arial" w:cs="Arial"/>
                <w:b/>
                <w:color w:val="000000"/>
              </w:rPr>
              <w:t>del 2024</w:t>
            </w:r>
          </w:p>
        </w:tc>
      </w:tr>
      <w:tr w14:paraId="7D3B73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1EC2DEA">
            <w:pPr>
              <w:spacing w:after="0"/>
              <w:jc w:val="both"/>
              <w:rPr>
                <w:rFonts w:ascii="Arial" w:hAnsi="Arial" w:eastAsia="Arial" w:cs="Arial"/>
                <w:color w:val="000000"/>
              </w:rPr>
            </w:pPr>
            <w:r>
              <w:rPr>
                <w:rFonts w:ascii="Arial" w:hAnsi="Arial" w:eastAsia="Arial" w:cs="Arial"/>
                <w:color w:val="000000"/>
              </w:rPr>
              <w:t>Publicación de la Convocatoria en el portal web del Municipio de Tlajomulco de Zúñiga, Jalisco (en formato descargable).</w:t>
            </w:r>
          </w:p>
        </w:tc>
        <w:tc>
          <w:tcPr>
            <w:tcW w:w="4679" w:type="dxa"/>
            <w:shd w:val="clear" w:color="auto" w:fill="auto"/>
          </w:tcPr>
          <w:p w14:paraId="0CAA52E9">
            <w:pPr>
              <w:ind w:right="-105"/>
              <w:jc w:val="both"/>
              <w:rPr>
                <w:rFonts w:ascii="Arial" w:hAnsi="Arial" w:eastAsia="Arial" w:cs="Arial"/>
                <w:color w:val="000000"/>
              </w:rPr>
            </w:pPr>
            <w:r>
              <w:rPr>
                <w:rFonts w:ascii="Arial" w:hAnsi="Arial" w:eastAsia="Arial" w:cs="Arial"/>
                <w:color w:val="000000"/>
              </w:rPr>
              <w:t xml:space="preserve">Viernes </w:t>
            </w:r>
            <w:r>
              <w:rPr>
                <w:rFonts w:hint="default" w:ascii="Arial" w:hAnsi="Arial" w:eastAsia="Arial" w:cs="Arial"/>
                <w:b/>
                <w:bCs/>
                <w:color w:val="000000"/>
                <w:lang w:val="es-MX"/>
              </w:rPr>
              <w:t>26</w:t>
            </w:r>
            <w:r>
              <w:rPr>
                <w:rFonts w:ascii="Arial" w:hAnsi="Arial" w:eastAsia="Arial" w:cs="Arial"/>
                <w:b/>
                <w:bCs/>
                <w:color w:val="000000"/>
              </w:rPr>
              <w:t xml:space="preserve"> de</w:t>
            </w:r>
            <w:r>
              <w:rPr>
                <w:rFonts w:ascii="Arial" w:hAnsi="Arial" w:eastAsia="Arial" w:cs="Arial"/>
                <w:b/>
                <w:color w:val="000000"/>
              </w:rPr>
              <w:t xml:space="preserve"> </w:t>
            </w:r>
            <w:r>
              <w:rPr>
                <w:rFonts w:hint="default" w:ascii="Arial" w:hAnsi="Arial" w:eastAsia="Arial" w:cs="Arial"/>
                <w:b/>
                <w:color w:val="000000"/>
                <w:lang w:val="es-MX"/>
              </w:rPr>
              <w:t xml:space="preserve">julio </w:t>
            </w:r>
            <w:r>
              <w:rPr>
                <w:rFonts w:ascii="Arial" w:hAnsi="Arial" w:eastAsia="Arial" w:cs="Arial"/>
                <w:b/>
                <w:color w:val="000000"/>
              </w:rPr>
              <w:t>del 2024</w:t>
            </w:r>
          </w:p>
        </w:tc>
      </w:tr>
      <w:tr w14:paraId="6C90D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834" w:hRule="atLeast"/>
        </w:trPr>
        <w:tc>
          <w:tcPr>
            <w:tcW w:w="4819" w:type="dxa"/>
            <w:shd w:val="clear" w:color="auto" w:fill="auto"/>
          </w:tcPr>
          <w:p w14:paraId="6CCB2B46">
            <w:pPr>
              <w:spacing w:after="0"/>
              <w:jc w:val="both"/>
              <w:rPr>
                <w:rFonts w:ascii="Arial" w:hAnsi="Arial" w:eastAsia="Arial" w:cs="Arial"/>
                <w:color w:val="000000"/>
              </w:rPr>
            </w:pPr>
            <w:r>
              <w:rPr>
                <w:rFonts w:ascii="Arial" w:hAnsi="Arial" w:eastAsia="Arial" w:cs="Arial"/>
                <w:color w:val="000000"/>
              </w:rPr>
              <w:t>Entrega de preguntas para Junta Aclaratoria</w:t>
            </w:r>
            <w:r>
              <w:rPr>
                <w:rFonts w:ascii="Arial" w:hAnsi="Arial" w:eastAsia="Arial" w:cs="Arial"/>
              </w:rPr>
              <w:t xml:space="preserve"> y correo electrónico para el envío de preguntas.</w:t>
            </w:r>
          </w:p>
        </w:tc>
        <w:tc>
          <w:tcPr>
            <w:tcW w:w="4679" w:type="dxa"/>
            <w:shd w:val="clear" w:color="auto" w:fill="auto"/>
          </w:tcPr>
          <w:p w14:paraId="49480FBE">
            <w:pPr>
              <w:ind w:right="-105"/>
              <w:jc w:val="both"/>
              <w:rPr>
                <w:rFonts w:ascii="Arial" w:hAnsi="Arial" w:eastAsia="Arial" w:cs="Arial"/>
                <w:b/>
                <w:color w:val="000000"/>
              </w:rPr>
            </w:pPr>
            <w:r>
              <w:rPr>
                <w:rFonts w:ascii="Arial" w:hAnsi="Arial" w:eastAsia="Arial" w:cs="Arial"/>
                <w:color w:val="000000"/>
              </w:rPr>
              <w:t xml:space="preserve">Hasta el </w:t>
            </w:r>
            <w:r>
              <w:rPr>
                <w:rFonts w:ascii="Arial" w:hAnsi="Arial" w:eastAsia="Arial" w:cs="Arial"/>
                <w:color w:val="000000"/>
                <w:lang w:val="es-MX"/>
              </w:rPr>
              <w:t>miércoles</w:t>
            </w:r>
            <w:r>
              <w:rPr>
                <w:rFonts w:hint="default" w:ascii="Arial" w:hAnsi="Arial" w:eastAsia="Arial" w:cs="Arial"/>
                <w:color w:val="000000"/>
                <w:lang w:val="es-MX"/>
              </w:rPr>
              <w:t xml:space="preserve"> </w:t>
            </w:r>
            <w:r>
              <w:rPr>
                <w:rFonts w:hint="default" w:ascii="Arial" w:hAnsi="Arial" w:eastAsia="Arial" w:cs="Arial"/>
                <w:b/>
                <w:bCs/>
                <w:color w:val="000000"/>
                <w:lang w:val="es-MX"/>
              </w:rPr>
              <w:t>31</w:t>
            </w:r>
            <w:r>
              <w:rPr>
                <w:rFonts w:ascii="Arial" w:hAnsi="Arial" w:eastAsia="Arial" w:cs="Arial"/>
                <w:b/>
                <w:bCs/>
                <w:color w:val="000000"/>
              </w:rPr>
              <w:t xml:space="preserve"> d</w:t>
            </w:r>
            <w:r>
              <w:rPr>
                <w:rFonts w:ascii="Arial" w:hAnsi="Arial" w:eastAsia="Arial" w:cs="Arial"/>
                <w:b/>
                <w:color w:val="000000"/>
              </w:rPr>
              <w:t xml:space="preserve">e </w:t>
            </w:r>
            <w:r>
              <w:rPr>
                <w:rFonts w:hint="default" w:ascii="Arial" w:hAnsi="Arial" w:eastAsia="Arial" w:cs="Arial"/>
                <w:b/>
                <w:color w:val="000000"/>
                <w:lang w:val="es-MX"/>
              </w:rPr>
              <w:t>julio</w:t>
            </w:r>
            <w:r>
              <w:rPr>
                <w:rFonts w:ascii="Arial" w:hAnsi="Arial" w:eastAsia="Arial" w:cs="Arial"/>
                <w:b/>
                <w:color w:val="000000"/>
              </w:rPr>
              <w:t xml:space="preserve"> del 2024 </w:t>
            </w:r>
            <w:r>
              <w:rPr>
                <w:rFonts w:ascii="Arial" w:hAnsi="Arial" w:eastAsia="Arial" w:cs="Arial"/>
                <w:color w:val="000000"/>
              </w:rPr>
              <w:t>a las 1</w:t>
            </w:r>
            <w:r>
              <w:rPr>
                <w:rFonts w:hint="default" w:ascii="Arial" w:hAnsi="Arial" w:eastAsia="Arial" w:cs="Arial"/>
                <w:color w:val="000000"/>
                <w:lang w:val="es-MX"/>
              </w:rPr>
              <w:t>5</w:t>
            </w:r>
            <w:r>
              <w:rPr>
                <w:rFonts w:ascii="Arial" w:hAnsi="Arial" w:eastAsia="Arial" w:cs="Arial"/>
                <w:color w:val="000000"/>
              </w:rPr>
              <w:t xml:space="preserve">:00 horas, correo: </w:t>
            </w:r>
            <w:r>
              <w:fldChar w:fldCharType="begin"/>
            </w:r>
            <w:r>
              <w:instrText xml:space="preserve"> HYPERLINK "mailto:licitaciones@tlajomulco.gob.mx" \h </w:instrText>
            </w:r>
            <w:r>
              <w:fldChar w:fldCharType="separate"/>
            </w:r>
            <w:r>
              <w:rPr>
                <w:rFonts w:ascii="Arial" w:hAnsi="Arial" w:eastAsia="Arial" w:cs="Arial"/>
                <w:color w:val="0000FF"/>
                <w:u w:val="single"/>
              </w:rPr>
              <w:t>licitaciones@tlajomulco.gob.mx</w:t>
            </w:r>
            <w:r>
              <w:rPr>
                <w:rFonts w:ascii="Arial" w:hAnsi="Arial" w:eastAsia="Arial" w:cs="Arial"/>
                <w:color w:val="0000FF"/>
                <w:u w:val="single"/>
              </w:rPr>
              <w:fldChar w:fldCharType="end"/>
            </w:r>
          </w:p>
        </w:tc>
      </w:tr>
      <w:tr w14:paraId="1C3A3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557" w:hRule="atLeast"/>
        </w:trPr>
        <w:tc>
          <w:tcPr>
            <w:tcW w:w="4819" w:type="dxa"/>
            <w:shd w:val="clear" w:color="auto" w:fill="auto"/>
          </w:tcPr>
          <w:p w14:paraId="0C285CC0">
            <w:pPr>
              <w:spacing w:after="0"/>
              <w:jc w:val="both"/>
              <w:rPr>
                <w:rFonts w:ascii="Arial" w:hAnsi="Arial" w:eastAsia="Arial" w:cs="Arial"/>
                <w:color w:val="000000"/>
              </w:rPr>
            </w:pPr>
            <w:r>
              <w:rPr>
                <w:rFonts w:ascii="Arial" w:hAnsi="Arial" w:eastAsia="Arial" w:cs="Arial"/>
                <w:color w:val="000000"/>
              </w:rPr>
              <w:t>Fecha, hora y lugar de la celebración de la primera Junta de Aclaraciones (art. 59, F. III, Ley)</w:t>
            </w:r>
          </w:p>
        </w:tc>
        <w:tc>
          <w:tcPr>
            <w:tcW w:w="4679" w:type="dxa"/>
            <w:shd w:val="clear" w:color="auto" w:fill="auto"/>
          </w:tcPr>
          <w:p w14:paraId="037AE1EF">
            <w:pPr>
              <w:ind w:right="-105"/>
              <w:jc w:val="both"/>
              <w:rPr>
                <w:rFonts w:ascii="Arial" w:hAnsi="Arial" w:eastAsia="Arial" w:cs="Arial"/>
                <w:color w:val="000000"/>
              </w:rPr>
            </w:pPr>
            <w:r>
              <w:rPr>
                <w:rFonts w:hint="default" w:ascii="Arial" w:hAnsi="Arial" w:eastAsia="Arial" w:cs="Arial"/>
                <w:lang w:val="es-MX"/>
              </w:rPr>
              <w:t>Viernes</w:t>
            </w:r>
            <w:r>
              <w:rPr>
                <w:rFonts w:ascii="Arial" w:hAnsi="Arial" w:eastAsia="Arial" w:cs="Arial"/>
              </w:rPr>
              <w:t xml:space="preserve"> </w:t>
            </w:r>
            <w:r>
              <w:rPr>
                <w:rFonts w:hint="default" w:ascii="Arial" w:hAnsi="Arial" w:eastAsia="Arial" w:cs="Arial"/>
                <w:b/>
                <w:bCs/>
                <w:lang w:val="es-MX"/>
              </w:rPr>
              <w:t>02</w:t>
            </w:r>
            <w:r>
              <w:rPr>
                <w:rFonts w:ascii="Arial" w:hAnsi="Arial" w:eastAsia="Arial" w:cs="Arial"/>
                <w:b/>
                <w:bCs/>
              </w:rPr>
              <w:t xml:space="preserve"> de </w:t>
            </w:r>
            <w:r>
              <w:rPr>
                <w:rFonts w:hint="default" w:ascii="Arial" w:hAnsi="Arial" w:eastAsia="Arial" w:cs="Arial"/>
                <w:b/>
                <w:bCs/>
                <w:lang w:val="es-MX"/>
              </w:rPr>
              <w:t xml:space="preserve">julio </w:t>
            </w:r>
            <w:r>
              <w:rPr>
                <w:rFonts w:ascii="Arial" w:hAnsi="Arial" w:eastAsia="Arial" w:cs="Arial"/>
                <w:b/>
              </w:rPr>
              <w:t xml:space="preserve">del 2024 </w:t>
            </w:r>
            <w:r>
              <w:rPr>
                <w:rFonts w:ascii="Arial" w:hAnsi="Arial" w:eastAsia="Arial" w:cs="Arial"/>
                <w:b/>
                <w:color w:val="000000"/>
              </w:rPr>
              <w:t>a las 1</w:t>
            </w:r>
            <w:r>
              <w:rPr>
                <w:rFonts w:hint="default" w:ascii="Arial" w:hAnsi="Arial" w:eastAsia="Arial" w:cs="Arial"/>
                <w:b/>
                <w:color w:val="000000"/>
                <w:lang w:val="es-MX"/>
              </w:rPr>
              <w:t>4</w:t>
            </w:r>
            <w:r>
              <w:rPr>
                <w:rFonts w:ascii="Arial" w:hAnsi="Arial" w:eastAsia="Arial" w:cs="Arial"/>
                <w:b/>
                <w:color w:val="000000"/>
              </w:rPr>
              <w:t>:</w:t>
            </w:r>
            <w:r>
              <w:rPr>
                <w:rFonts w:hint="default" w:ascii="Arial" w:hAnsi="Arial" w:eastAsia="Arial" w:cs="Arial"/>
                <w:b/>
                <w:color w:val="000000"/>
                <w:lang w:val="es-MX"/>
              </w:rPr>
              <w:t>0</w:t>
            </w:r>
            <w:r>
              <w:rPr>
                <w:rFonts w:ascii="Arial" w:hAnsi="Arial" w:eastAsia="Arial" w:cs="Arial"/>
                <w:b/>
                <w:color w:val="000000"/>
              </w:rPr>
              <w:t>0</w:t>
            </w:r>
            <w:r>
              <w:rPr>
                <w:rFonts w:ascii="Arial" w:hAnsi="Arial" w:eastAsia="Arial" w:cs="Arial"/>
                <w:color w:val="000000"/>
              </w:rPr>
              <w:t xml:space="preserve"> horas, en la Dirección de Recursos Materiales, primer piso del Centro Administrativo (CAT), ubicado en la calle de Higuera número #70, Colonia Centro, Tlajomulco de Zúñiga, Jalisco, México.</w:t>
            </w:r>
          </w:p>
        </w:tc>
      </w:tr>
      <w:tr w14:paraId="7A7EC4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1157" w:hRule="atLeast"/>
        </w:trPr>
        <w:tc>
          <w:tcPr>
            <w:tcW w:w="4819" w:type="dxa"/>
            <w:shd w:val="clear" w:color="auto" w:fill="auto"/>
          </w:tcPr>
          <w:p w14:paraId="00BA263A">
            <w:pPr>
              <w:spacing w:after="0"/>
              <w:jc w:val="both"/>
              <w:rPr>
                <w:rFonts w:ascii="Arial" w:hAnsi="Arial" w:eastAsia="Arial" w:cs="Arial"/>
                <w:color w:val="000000"/>
              </w:rPr>
            </w:pPr>
            <w:r>
              <w:rPr>
                <w:rFonts w:ascii="Arial" w:hAnsi="Arial" w:eastAsia="Arial" w:cs="Arial"/>
                <w:color w:val="000000"/>
              </w:rPr>
              <w:t>Fecha, hora y lugar de celebración del acto de presentación de proposiciones (art. 59, F. III, Ley).</w:t>
            </w:r>
          </w:p>
        </w:tc>
        <w:tc>
          <w:tcPr>
            <w:tcW w:w="4679" w:type="dxa"/>
            <w:shd w:val="clear" w:color="auto" w:fill="auto"/>
          </w:tcPr>
          <w:p w14:paraId="00593CD1">
            <w:pPr>
              <w:spacing w:after="0"/>
              <w:ind w:right="-105"/>
              <w:jc w:val="both"/>
              <w:rPr>
                <w:rFonts w:ascii="Arial" w:hAnsi="Arial" w:eastAsia="Arial" w:cs="Arial"/>
              </w:rPr>
            </w:pPr>
            <w:r>
              <w:rPr>
                <w:rFonts w:ascii="Arial" w:hAnsi="Arial" w:eastAsia="Arial" w:cs="Arial"/>
                <w:color w:val="000000"/>
              </w:rPr>
              <w:t xml:space="preserve">La presentación de proposiciones iniciará el Viernes </w:t>
            </w:r>
            <w:r>
              <w:rPr>
                <w:rFonts w:hint="default" w:ascii="Arial" w:hAnsi="Arial" w:eastAsia="Arial" w:cs="Arial"/>
                <w:b/>
                <w:bCs/>
                <w:color w:val="000000"/>
                <w:lang w:val="es-MX"/>
              </w:rPr>
              <w:t>09</w:t>
            </w:r>
            <w:r>
              <w:rPr>
                <w:rFonts w:ascii="Arial" w:hAnsi="Arial" w:eastAsia="Arial" w:cs="Arial"/>
                <w:b/>
                <w:color w:val="000000"/>
              </w:rPr>
              <w:t xml:space="preserve"> de </w:t>
            </w:r>
            <w:r>
              <w:rPr>
                <w:rFonts w:hint="default" w:ascii="Arial" w:hAnsi="Arial" w:eastAsia="Arial" w:cs="Arial"/>
                <w:b/>
                <w:color w:val="000000"/>
                <w:lang w:val="es-MX"/>
              </w:rPr>
              <w:t>agosto</w:t>
            </w:r>
            <w:r>
              <w:rPr>
                <w:rFonts w:ascii="Arial" w:hAnsi="Arial" w:eastAsia="Arial" w:cs="Arial"/>
                <w:b/>
                <w:color w:val="000000"/>
              </w:rPr>
              <w:t xml:space="preserve"> 2024 a las 8:10 y concluirá a las 8:</w:t>
            </w:r>
            <w:r>
              <w:rPr>
                <w:rFonts w:hint="default" w:ascii="Arial" w:hAnsi="Arial" w:eastAsia="Arial" w:cs="Arial"/>
                <w:b/>
                <w:color w:val="000000"/>
                <w:lang w:val="es-MX"/>
              </w:rPr>
              <w:t>4</w:t>
            </w:r>
            <w:r>
              <w:rPr>
                <w:rFonts w:ascii="Arial" w:hAnsi="Arial" w:eastAsia="Arial" w:cs="Arial"/>
                <w:b/>
                <w:color w:val="000000"/>
              </w:rPr>
              <w:t xml:space="preserve">0 horas </w:t>
            </w:r>
            <w:r>
              <w:rPr>
                <w:rFonts w:ascii="Arial" w:hAnsi="Arial" w:eastAsia="Arial" w:cs="Arial"/>
                <w:color w:val="000000"/>
              </w:rPr>
              <w:t xml:space="preserve">en el inmueble ubicado en el </w:t>
            </w:r>
            <w:r>
              <w:rPr>
                <w:rFonts w:ascii="Arial" w:hAnsi="Arial" w:eastAsia="Arial" w:cs="Arial"/>
                <w:bCs/>
                <w:color w:val="000000"/>
              </w:rPr>
              <w:t>Salón de Eventos, primer piso, del Hotel Encore (Plaza “La Gourmetería”), ubicado en el número 1710 de la Avenida López Mateos Sur, Colonia Santa Isabel, Tlajomulco de Zúñiga, Jalisco. C.P. 45645.</w:t>
            </w:r>
          </w:p>
        </w:tc>
      </w:tr>
      <w:tr w14:paraId="2C47B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1157" w:hRule="atLeast"/>
        </w:trPr>
        <w:tc>
          <w:tcPr>
            <w:tcW w:w="4819" w:type="dxa"/>
            <w:shd w:val="clear" w:color="auto" w:fill="auto"/>
          </w:tcPr>
          <w:p w14:paraId="6C514F50">
            <w:pPr>
              <w:spacing w:after="0"/>
              <w:jc w:val="both"/>
              <w:rPr>
                <w:rFonts w:ascii="Arial" w:hAnsi="Arial" w:eastAsia="Arial" w:cs="Arial"/>
                <w:color w:val="000000"/>
              </w:rPr>
            </w:pPr>
            <w:r>
              <w:rPr>
                <w:rFonts w:ascii="Arial" w:hAnsi="Arial" w:eastAsia="Arial" w:cs="Arial"/>
                <w:color w:val="000000"/>
              </w:rPr>
              <w:t>Fecha, hora y lugar de celebración del acto de apertura de proposiciones (art. 59, F. III, Ley).</w:t>
            </w:r>
          </w:p>
        </w:tc>
        <w:tc>
          <w:tcPr>
            <w:tcW w:w="4679" w:type="dxa"/>
            <w:shd w:val="clear" w:color="auto" w:fill="auto"/>
          </w:tcPr>
          <w:p w14:paraId="065CAC39">
            <w:pPr>
              <w:spacing w:after="0"/>
              <w:ind w:right="-105"/>
              <w:jc w:val="both"/>
              <w:rPr>
                <w:rFonts w:ascii="Arial" w:hAnsi="Arial" w:eastAsia="Arial" w:cs="Arial"/>
              </w:rPr>
            </w:pPr>
            <w:r>
              <w:rPr>
                <w:rFonts w:ascii="Arial" w:hAnsi="Arial" w:eastAsia="Arial" w:cs="Arial"/>
                <w:color w:val="000000"/>
              </w:rPr>
              <w:t xml:space="preserve">La apertura de proposiciones iniciará el viernes </w:t>
            </w:r>
            <w:r>
              <w:rPr>
                <w:rFonts w:hint="default" w:ascii="Arial" w:hAnsi="Arial" w:eastAsia="Arial" w:cs="Arial"/>
                <w:b/>
                <w:bCs/>
                <w:color w:val="000000"/>
                <w:lang w:val="es-MX"/>
              </w:rPr>
              <w:t>09</w:t>
            </w:r>
            <w:r>
              <w:rPr>
                <w:rFonts w:ascii="Arial" w:hAnsi="Arial" w:eastAsia="Arial" w:cs="Arial"/>
                <w:b/>
                <w:bCs/>
              </w:rPr>
              <w:t xml:space="preserve"> </w:t>
            </w:r>
            <w:r>
              <w:rPr>
                <w:rFonts w:ascii="Arial" w:hAnsi="Arial" w:eastAsia="Arial" w:cs="Arial"/>
                <w:b/>
                <w:color w:val="000000"/>
              </w:rPr>
              <w:t xml:space="preserve">de </w:t>
            </w:r>
            <w:r>
              <w:rPr>
                <w:rFonts w:hint="default" w:ascii="Arial" w:hAnsi="Arial" w:eastAsia="Arial" w:cs="Arial"/>
                <w:b/>
                <w:color w:val="000000"/>
                <w:lang w:val="es-MX"/>
              </w:rPr>
              <w:t xml:space="preserve">agosto </w:t>
            </w:r>
            <w:r>
              <w:rPr>
                <w:rFonts w:ascii="Arial" w:hAnsi="Arial" w:eastAsia="Arial" w:cs="Arial"/>
                <w:b/>
                <w:color w:val="000000"/>
              </w:rPr>
              <w:t>2024 a las 8:</w:t>
            </w:r>
            <w:r>
              <w:rPr>
                <w:rFonts w:hint="default" w:ascii="Arial" w:hAnsi="Arial" w:eastAsia="Arial" w:cs="Arial"/>
                <w:b/>
                <w:color w:val="000000"/>
                <w:lang w:val="es-MX"/>
              </w:rPr>
              <w:t>4</w:t>
            </w:r>
            <w:r>
              <w:rPr>
                <w:rFonts w:ascii="Arial" w:hAnsi="Arial" w:eastAsia="Arial" w:cs="Arial"/>
                <w:b/>
                <w:color w:val="000000"/>
              </w:rPr>
              <w:t xml:space="preserve">5 horas </w:t>
            </w:r>
            <w:r>
              <w:rPr>
                <w:rFonts w:ascii="Arial" w:hAnsi="Arial" w:eastAsia="Arial" w:cs="Arial"/>
                <w:color w:val="000000"/>
              </w:rPr>
              <w:t xml:space="preserve">en el inmueble ubicado en el </w:t>
            </w:r>
            <w:r>
              <w:rPr>
                <w:rFonts w:ascii="Arial" w:hAnsi="Arial" w:eastAsia="Arial" w:cs="Arial"/>
                <w:bCs/>
                <w:color w:val="000000"/>
              </w:rPr>
              <w:t xml:space="preserve">Salón de Eventos, primer piso, del Hotel Encore (Plaza “La Gourmetería”), ubicado en el número 1710 de la Avenida López Mateos Sur, Colonia Santa Isabel, Tlajomulco de Zúñiga, Jalisco. C.P. 45645 </w:t>
            </w:r>
            <w:r>
              <w:rPr>
                <w:rFonts w:ascii="Arial" w:hAnsi="Arial" w:eastAsia="Arial" w:cs="Arial"/>
                <w:color w:val="000000"/>
              </w:rPr>
              <w:t xml:space="preserve">dentro de la sesión de </w:t>
            </w:r>
            <w:r>
              <w:rPr>
                <w:rFonts w:ascii="Arial" w:hAnsi="Arial" w:eastAsia="Arial" w:cs="Arial"/>
                <w:color w:val="000000"/>
                <w:lang w:val="es-MX"/>
              </w:rPr>
              <w:t>Comité</w:t>
            </w:r>
            <w:r>
              <w:rPr>
                <w:rFonts w:ascii="Arial" w:hAnsi="Arial" w:eastAsia="Arial" w:cs="Arial"/>
                <w:color w:val="000000"/>
              </w:rPr>
              <w:t xml:space="preserve"> de Adquisiciones.</w:t>
            </w:r>
          </w:p>
        </w:tc>
      </w:tr>
      <w:tr w14:paraId="44CA7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56A1B00A">
            <w:pPr>
              <w:spacing w:after="0"/>
              <w:jc w:val="both"/>
              <w:rPr>
                <w:rFonts w:ascii="Arial" w:hAnsi="Arial" w:eastAsia="Arial" w:cs="Arial"/>
                <w:color w:val="000000"/>
              </w:rPr>
            </w:pPr>
            <w:r>
              <w:rPr>
                <w:rFonts w:ascii="Arial" w:hAnsi="Arial" w:eastAsia="Arial" w:cs="Arial"/>
                <w:color w:val="000000"/>
              </w:rPr>
              <w:t>Resolución del ganador.</w:t>
            </w:r>
          </w:p>
        </w:tc>
        <w:tc>
          <w:tcPr>
            <w:tcW w:w="4679" w:type="dxa"/>
            <w:shd w:val="clear" w:color="auto" w:fill="auto"/>
          </w:tcPr>
          <w:p w14:paraId="13EB4BDF">
            <w:pPr>
              <w:spacing w:after="0"/>
              <w:ind w:right="-105"/>
              <w:jc w:val="both"/>
              <w:rPr>
                <w:rFonts w:ascii="Arial" w:hAnsi="Arial" w:eastAsia="Arial" w:cs="Arial"/>
              </w:rPr>
            </w:pPr>
            <w:r>
              <w:rPr>
                <w:rFonts w:ascii="Arial" w:hAnsi="Arial" w:eastAsia="Arial" w:cs="Arial"/>
              </w:rPr>
              <w:t xml:space="preserve">En fecha de apertura de proposiciones o hasta 20 días hábiles posteriores, mismo lugar. </w:t>
            </w:r>
          </w:p>
        </w:tc>
      </w:tr>
      <w:tr w14:paraId="25B5E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25E3CE62">
            <w:pPr>
              <w:spacing w:after="0"/>
              <w:rPr>
                <w:rFonts w:ascii="Arial" w:hAnsi="Arial" w:eastAsia="Arial" w:cs="Arial"/>
              </w:rPr>
            </w:pPr>
            <w:r>
              <w:rPr>
                <w:rFonts w:ascii="Arial" w:hAnsi="Arial" w:eastAsia="Arial" w:cs="Arial"/>
              </w:rPr>
              <w:t>Origen de los Recursos (art. 59, F. I, Ley)</w:t>
            </w:r>
          </w:p>
        </w:tc>
        <w:tc>
          <w:tcPr>
            <w:tcW w:w="4679" w:type="dxa"/>
            <w:shd w:val="clear" w:color="auto" w:fill="auto"/>
          </w:tcPr>
          <w:p w14:paraId="2F713974">
            <w:pPr>
              <w:spacing w:after="0"/>
              <w:ind w:right="622"/>
              <w:jc w:val="both"/>
              <w:rPr>
                <w:rFonts w:ascii="Arial" w:hAnsi="Arial" w:eastAsia="Arial" w:cs="Arial"/>
              </w:rPr>
            </w:pPr>
            <w:r>
              <w:rPr>
                <w:rFonts w:ascii="Arial" w:hAnsi="Arial" w:eastAsia="Arial" w:cs="Arial"/>
              </w:rPr>
              <w:t xml:space="preserve">Municipal </w:t>
            </w:r>
          </w:p>
        </w:tc>
      </w:tr>
      <w:tr w14:paraId="175F2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4E2A3308">
            <w:pPr>
              <w:spacing w:after="0"/>
              <w:jc w:val="both"/>
              <w:rPr>
                <w:rFonts w:ascii="Arial" w:hAnsi="Arial" w:eastAsia="Arial" w:cs="Arial"/>
              </w:rPr>
            </w:pPr>
            <w:r>
              <w:rPr>
                <w:rFonts w:ascii="Arial" w:hAnsi="Arial" w:eastAsia="Arial" w:cs="Arial"/>
              </w:rPr>
              <w:t>Carácter de la Licitación (Art. 55 y 59, F. IV, Ley).</w:t>
            </w:r>
          </w:p>
        </w:tc>
        <w:tc>
          <w:tcPr>
            <w:tcW w:w="4679" w:type="dxa"/>
            <w:shd w:val="clear" w:color="auto" w:fill="auto"/>
          </w:tcPr>
          <w:p w14:paraId="43F48A01">
            <w:pPr>
              <w:spacing w:after="0"/>
              <w:ind w:right="622"/>
              <w:jc w:val="both"/>
              <w:rPr>
                <w:rFonts w:ascii="Arial" w:hAnsi="Arial" w:eastAsia="Arial" w:cs="Arial"/>
                <w:b/>
              </w:rPr>
            </w:pPr>
            <w:r>
              <w:rPr>
                <w:rFonts w:hint="default" w:ascii="Arial" w:hAnsi="Arial" w:eastAsia="Arial" w:cs="Arial"/>
                <w:color w:val="000000"/>
                <w:lang w:val="es-MX"/>
              </w:rPr>
              <w:t>Local</w:t>
            </w:r>
            <w:r>
              <w:rPr>
                <w:rFonts w:ascii="Arial" w:hAnsi="Arial" w:eastAsia="Arial" w:cs="Arial"/>
                <w:color w:val="000000"/>
              </w:rPr>
              <w:t xml:space="preserve"> </w:t>
            </w:r>
          </w:p>
        </w:tc>
      </w:tr>
      <w:tr w14:paraId="642568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38AFCB0E">
            <w:pPr>
              <w:spacing w:after="0"/>
              <w:jc w:val="both"/>
              <w:rPr>
                <w:rFonts w:ascii="Arial" w:hAnsi="Arial" w:eastAsia="Arial" w:cs="Arial"/>
              </w:rPr>
            </w:pPr>
            <w:r>
              <w:rPr>
                <w:rFonts w:ascii="Arial" w:hAnsi="Arial" w:eastAsia="Arial" w:cs="Arial"/>
              </w:rPr>
              <w:t>Idioma en que deberán presentarse las proposiciones, anexos y folletos (Art. 59, F. IV, Ley).</w:t>
            </w:r>
          </w:p>
        </w:tc>
        <w:tc>
          <w:tcPr>
            <w:tcW w:w="4679" w:type="dxa"/>
            <w:shd w:val="clear" w:color="auto" w:fill="auto"/>
          </w:tcPr>
          <w:p w14:paraId="4B0D9BF8">
            <w:pPr>
              <w:spacing w:after="0"/>
              <w:ind w:right="622"/>
              <w:jc w:val="both"/>
              <w:rPr>
                <w:rFonts w:ascii="Arial" w:hAnsi="Arial" w:eastAsia="Arial" w:cs="Arial"/>
              </w:rPr>
            </w:pPr>
            <w:r>
              <w:rPr>
                <w:rFonts w:ascii="Arial" w:hAnsi="Arial" w:eastAsia="Arial" w:cs="Arial"/>
              </w:rPr>
              <w:t>Español</w:t>
            </w:r>
          </w:p>
        </w:tc>
      </w:tr>
      <w:tr w14:paraId="3F226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0A2D06FF">
            <w:pPr>
              <w:spacing w:after="0"/>
              <w:jc w:val="both"/>
              <w:rPr>
                <w:rFonts w:ascii="Arial" w:hAnsi="Arial" w:eastAsia="Arial" w:cs="Arial"/>
              </w:rPr>
            </w:pPr>
            <w:r>
              <w:rPr>
                <w:rFonts w:ascii="Arial" w:hAnsi="Arial" w:eastAsia="Arial" w:cs="Arial"/>
              </w:rPr>
              <w:t>Ejercicio Fiscal que abarca la Contratación (Art. 59, F. X, Ley).</w:t>
            </w:r>
          </w:p>
        </w:tc>
        <w:tc>
          <w:tcPr>
            <w:tcW w:w="4679" w:type="dxa"/>
            <w:shd w:val="clear" w:color="auto" w:fill="auto"/>
          </w:tcPr>
          <w:p w14:paraId="7C7211D1">
            <w:pPr>
              <w:spacing w:after="0"/>
              <w:ind w:right="622"/>
              <w:jc w:val="both"/>
              <w:rPr>
                <w:rFonts w:ascii="Arial" w:hAnsi="Arial" w:eastAsia="Arial" w:cs="Arial"/>
                <w:b/>
              </w:rPr>
            </w:pPr>
            <w:r>
              <w:rPr>
                <w:rFonts w:ascii="Arial" w:hAnsi="Arial" w:eastAsia="Arial" w:cs="Arial"/>
                <w:b/>
              </w:rPr>
              <w:t>2024</w:t>
            </w:r>
          </w:p>
        </w:tc>
      </w:tr>
      <w:tr w14:paraId="1B13D2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26BF25FB">
            <w:pPr>
              <w:spacing w:after="0"/>
              <w:jc w:val="both"/>
              <w:rPr>
                <w:rFonts w:ascii="Arial" w:hAnsi="Arial" w:eastAsia="Arial" w:cs="Arial"/>
              </w:rPr>
            </w:pPr>
            <w:r>
              <w:rPr>
                <w:rFonts w:ascii="Arial" w:hAnsi="Arial" w:eastAsia="Arial" w:cs="Arial"/>
              </w:rPr>
              <w:t>Se acredita la suficiencia presupuestal (Art. 50, Ley).</w:t>
            </w:r>
          </w:p>
        </w:tc>
        <w:tc>
          <w:tcPr>
            <w:tcW w:w="4679" w:type="dxa"/>
            <w:shd w:val="clear" w:color="auto" w:fill="auto"/>
          </w:tcPr>
          <w:p w14:paraId="0E20CAE1">
            <w:pPr>
              <w:spacing w:after="0"/>
              <w:ind w:right="622"/>
              <w:jc w:val="both"/>
              <w:rPr>
                <w:rFonts w:ascii="Arial" w:hAnsi="Arial" w:eastAsia="Arial" w:cs="Arial"/>
              </w:rPr>
            </w:pPr>
            <w:r>
              <w:rPr>
                <w:rFonts w:ascii="Arial" w:hAnsi="Arial" w:eastAsia="Arial" w:cs="Arial"/>
              </w:rPr>
              <w:t>SI</w:t>
            </w:r>
          </w:p>
        </w:tc>
      </w:tr>
      <w:tr w14:paraId="67E4E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6272401D">
            <w:pPr>
              <w:spacing w:after="0"/>
              <w:jc w:val="both"/>
              <w:rPr>
                <w:rFonts w:ascii="Arial" w:hAnsi="Arial" w:eastAsia="Arial" w:cs="Arial"/>
              </w:rPr>
            </w:pPr>
            <w:r>
              <w:rPr>
                <w:rFonts w:ascii="Arial" w:hAnsi="Arial" w:eastAsia="Arial" w:cs="Arial"/>
              </w:rPr>
              <w:t>Tipo de contrato (Art. 59, F. X, Ley).</w:t>
            </w:r>
          </w:p>
        </w:tc>
        <w:tc>
          <w:tcPr>
            <w:tcW w:w="4679" w:type="dxa"/>
            <w:shd w:val="clear" w:color="auto" w:fill="auto"/>
          </w:tcPr>
          <w:p w14:paraId="541294D7">
            <w:pPr>
              <w:spacing w:after="0"/>
              <w:ind w:right="-105"/>
              <w:jc w:val="both"/>
              <w:rPr>
                <w:rFonts w:ascii="Arial" w:hAnsi="Arial" w:eastAsia="Arial" w:cs="Arial"/>
                <w:b/>
              </w:rPr>
            </w:pPr>
            <w:r>
              <w:rPr>
                <w:rFonts w:ascii="Arial" w:hAnsi="Arial" w:eastAsia="Arial" w:cs="Arial"/>
                <w:b/>
              </w:rPr>
              <w:t xml:space="preserve">Contrato o pedido (Orden de Compra) </w:t>
            </w:r>
            <w:r>
              <w:rPr>
                <w:rFonts w:hint="default" w:ascii="Arial" w:hAnsi="Arial" w:eastAsia="Arial" w:cs="Arial"/>
                <w:b/>
                <w:lang w:val="es-MX"/>
              </w:rPr>
              <w:t>abierto</w:t>
            </w:r>
            <w:r>
              <w:rPr>
                <w:rFonts w:ascii="Arial" w:hAnsi="Arial" w:eastAsia="Arial" w:cs="Arial"/>
                <w:b/>
              </w:rPr>
              <w:t>.</w:t>
            </w:r>
          </w:p>
        </w:tc>
      </w:tr>
      <w:tr w14:paraId="146B4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52E77FF4">
            <w:pPr>
              <w:spacing w:after="0"/>
              <w:jc w:val="both"/>
              <w:rPr>
                <w:rFonts w:ascii="Arial" w:hAnsi="Arial" w:eastAsia="Arial" w:cs="Arial"/>
              </w:rPr>
            </w:pPr>
            <w:r>
              <w:rPr>
                <w:rFonts w:ascii="Arial" w:hAnsi="Arial" w:eastAsia="Arial" w:cs="Arial"/>
              </w:rPr>
              <w:t xml:space="preserve">Aceptación de proposiciones Conjuntas (Art. 59, F. X, Ley). </w:t>
            </w:r>
          </w:p>
        </w:tc>
        <w:tc>
          <w:tcPr>
            <w:tcW w:w="4679" w:type="dxa"/>
            <w:shd w:val="clear" w:color="auto" w:fill="auto"/>
          </w:tcPr>
          <w:p w14:paraId="162494C0">
            <w:pPr>
              <w:spacing w:after="0"/>
              <w:ind w:right="-105"/>
              <w:jc w:val="both"/>
              <w:rPr>
                <w:rFonts w:ascii="Arial" w:hAnsi="Arial" w:eastAsia="Arial" w:cs="Arial"/>
              </w:rPr>
            </w:pPr>
            <w:r>
              <w:rPr>
                <w:rFonts w:ascii="Arial" w:hAnsi="Arial" w:eastAsia="Arial" w:cs="Arial"/>
              </w:rPr>
              <w:t>SI</w:t>
            </w:r>
          </w:p>
        </w:tc>
      </w:tr>
      <w:tr w14:paraId="60E9E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36E90D7">
            <w:pPr>
              <w:spacing w:after="0"/>
              <w:jc w:val="both"/>
              <w:rPr>
                <w:rFonts w:ascii="Arial" w:hAnsi="Arial" w:eastAsia="Arial" w:cs="Arial"/>
              </w:rPr>
            </w:pPr>
            <w:r>
              <w:rPr>
                <w:rFonts w:ascii="Arial" w:hAnsi="Arial" w:eastAsia="Arial" w:cs="Arial"/>
              </w:rPr>
              <w:t>Adjudicación de los Bienes o Servicios (por partida/todo a un solo proveedor (Art. 59, F. XI, Ley).</w:t>
            </w:r>
          </w:p>
        </w:tc>
        <w:tc>
          <w:tcPr>
            <w:tcW w:w="4679" w:type="dxa"/>
            <w:shd w:val="clear" w:color="auto" w:fill="auto"/>
          </w:tcPr>
          <w:p w14:paraId="73B77AAB">
            <w:pPr>
              <w:spacing w:after="0"/>
              <w:ind w:right="-105"/>
              <w:jc w:val="both"/>
              <w:rPr>
                <w:rFonts w:ascii="Arial" w:hAnsi="Arial" w:eastAsia="Arial" w:cs="Arial"/>
                <w:b/>
              </w:rPr>
            </w:pPr>
            <w:r>
              <w:rPr>
                <w:rFonts w:ascii="Arial" w:hAnsi="Arial" w:eastAsia="Arial" w:cs="Arial"/>
                <w:b/>
              </w:rPr>
              <w:t>Se</w:t>
            </w:r>
            <w:r>
              <w:rPr>
                <w:rFonts w:hint="default" w:ascii="Arial" w:hAnsi="Arial" w:eastAsia="Arial" w:cs="Arial"/>
                <w:b/>
                <w:lang w:val="es-MX"/>
              </w:rPr>
              <w:t xml:space="preserve"> adjudicara</w:t>
            </w:r>
            <w:r>
              <w:rPr>
                <w:rFonts w:ascii="Arial" w:hAnsi="Arial" w:eastAsia="Arial" w:cs="Arial"/>
                <w:b/>
              </w:rPr>
              <w:t xml:space="preserve"> a</w:t>
            </w:r>
            <w:r>
              <w:rPr>
                <w:rFonts w:hint="default" w:ascii="Arial" w:hAnsi="Arial" w:eastAsia="Arial" w:cs="Arial"/>
                <w:b/>
                <w:lang w:val="es-MX"/>
              </w:rPr>
              <w:t xml:space="preserve"> un solo </w:t>
            </w:r>
            <w:r>
              <w:rPr>
                <w:rFonts w:ascii="Arial" w:hAnsi="Arial" w:eastAsia="Arial" w:cs="Arial"/>
                <w:b/>
              </w:rPr>
              <w:t>licitante.</w:t>
            </w:r>
          </w:p>
        </w:tc>
      </w:tr>
      <w:tr w14:paraId="459BF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487" w:hRule="atLeast"/>
        </w:trPr>
        <w:tc>
          <w:tcPr>
            <w:tcW w:w="4819" w:type="dxa"/>
            <w:shd w:val="clear" w:color="auto" w:fill="auto"/>
          </w:tcPr>
          <w:p w14:paraId="08757DC0">
            <w:pPr>
              <w:spacing w:after="0"/>
              <w:jc w:val="both"/>
              <w:rPr>
                <w:rFonts w:ascii="Arial" w:hAnsi="Arial" w:eastAsia="Arial" w:cs="Arial"/>
              </w:rPr>
            </w:pPr>
            <w:r>
              <w:rPr>
                <w:rFonts w:ascii="Arial" w:hAnsi="Arial" w:eastAsia="Arial" w:cs="Arial"/>
                <w:color w:val="000000"/>
              </w:rPr>
              <w:t xml:space="preserve">Área requirente de los </w:t>
            </w:r>
            <w:r>
              <w:rPr>
                <w:rFonts w:ascii="Arial" w:hAnsi="Arial" w:eastAsia="Arial" w:cs="Arial"/>
                <w:color w:val="000000"/>
                <w:lang w:val="es-MX"/>
              </w:rPr>
              <w:t>Bienes</w:t>
            </w:r>
            <w:r>
              <w:rPr>
                <w:rFonts w:ascii="Arial" w:hAnsi="Arial" w:eastAsia="Arial" w:cs="Arial"/>
                <w:color w:val="000000"/>
              </w:rPr>
              <w:t xml:space="preserve"> o Servicios.</w:t>
            </w:r>
          </w:p>
        </w:tc>
        <w:tc>
          <w:tcPr>
            <w:tcW w:w="4679" w:type="dxa"/>
            <w:shd w:val="clear" w:color="auto" w:fill="auto"/>
          </w:tcPr>
          <w:p w14:paraId="1E65E201">
            <w:pPr>
              <w:spacing w:after="0"/>
              <w:ind w:right="-105"/>
              <w:jc w:val="both"/>
              <w:rPr>
                <w:rFonts w:hint="default" w:ascii="Arial" w:hAnsi="Arial" w:eastAsia="Arial" w:cs="Arial"/>
                <w:b/>
                <w:lang w:val="es-MX"/>
              </w:rPr>
            </w:pPr>
            <w:r>
              <w:rPr>
                <w:rFonts w:hint="default" w:ascii="Arial" w:hAnsi="Arial" w:eastAsia="Arial" w:cs="Arial"/>
                <w:b/>
                <w:bCs/>
                <w:color w:val="000000"/>
                <w:lang w:val="es-MX"/>
              </w:rPr>
              <w:t>Secretaria General del Ayuntamiento</w:t>
            </w:r>
            <w:r>
              <w:rPr>
                <w:rFonts w:hint="default" w:ascii="Arial" w:hAnsi="Arial" w:eastAsia="Arial" w:cs="Arial"/>
                <w:b/>
                <w:bCs/>
                <w:lang w:val="es-MX"/>
              </w:rPr>
              <w:t xml:space="preserve"> </w:t>
            </w:r>
          </w:p>
        </w:tc>
      </w:tr>
      <w:tr w14:paraId="2FE4C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0C4AC0BF">
            <w:pPr>
              <w:spacing w:after="0"/>
              <w:jc w:val="both"/>
              <w:rPr>
                <w:rFonts w:ascii="Arial" w:hAnsi="Arial" w:eastAsia="Arial" w:cs="Arial"/>
                <w:color w:val="000000"/>
              </w:rPr>
            </w:pPr>
            <w:r>
              <w:rPr>
                <w:rFonts w:ascii="Arial" w:hAnsi="Arial" w:eastAsia="Arial" w:cs="Arial"/>
                <w:color w:val="000000"/>
              </w:rPr>
              <w:t>La partida presupuestal, de conformidad con el clasificador por objeto del gasto.</w:t>
            </w:r>
          </w:p>
        </w:tc>
        <w:tc>
          <w:tcPr>
            <w:tcW w:w="4679" w:type="dxa"/>
            <w:shd w:val="clear" w:color="auto" w:fill="auto"/>
          </w:tcPr>
          <w:p w14:paraId="2AD10620">
            <w:pPr>
              <w:spacing w:after="0"/>
              <w:ind w:right="-105"/>
              <w:jc w:val="both"/>
              <w:rPr>
                <w:rFonts w:hint="default" w:ascii="Arial" w:hAnsi="Arial" w:cs="Arial"/>
                <w:b/>
                <w:lang w:val="es-MX" w:eastAsia="es-ES"/>
              </w:rPr>
            </w:pPr>
            <w:r>
              <w:rPr>
                <w:rFonts w:hint="default" w:ascii="Arial" w:hAnsi="Arial" w:cs="Arial"/>
                <w:b/>
                <w:lang w:val="es-MX" w:eastAsia="es-ES"/>
              </w:rPr>
              <w:t>3821</w:t>
            </w:r>
          </w:p>
        </w:tc>
      </w:tr>
      <w:tr w14:paraId="4EEC9B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80A33FA">
            <w:pPr>
              <w:spacing w:after="0"/>
              <w:jc w:val="both"/>
              <w:rPr>
                <w:rFonts w:ascii="Arial" w:hAnsi="Arial" w:eastAsia="Arial" w:cs="Arial"/>
              </w:rPr>
            </w:pPr>
            <w:r>
              <w:rPr>
                <w:rFonts w:ascii="Arial" w:hAnsi="Arial" w:eastAsia="Arial" w:cs="Arial"/>
              </w:rPr>
              <w:t>Participación de testigo Social (Art. 37, Ley).</w:t>
            </w:r>
          </w:p>
        </w:tc>
        <w:tc>
          <w:tcPr>
            <w:tcW w:w="4679" w:type="dxa"/>
            <w:shd w:val="clear" w:color="auto" w:fill="auto"/>
          </w:tcPr>
          <w:p w14:paraId="3A78FF72">
            <w:pPr>
              <w:spacing w:after="0"/>
              <w:ind w:right="-105"/>
              <w:jc w:val="both"/>
              <w:rPr>
                <w:rFonts w:ascii="Arial" w:hAnsi="Arial" w:eastAsia="Arial" w:cs="Arial"/>
              </w:rPr>
            </w:pPr>
            <w:r>
              <w:rPr>
                <w:rFonts w:ascii="Arial" w:hAnsi="Arial" w:eastAsia="Arial" w:cs="Arial"/>
              </w:rPr>
              <w:t>NO</w:t>
            </w:r>
          </w:p>
        </w:tc>
      </w:tr>
      <w:tr w14:paraId="6398B8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6618093F">
            <w:pPr>
              <w:spacing w:after="0"/>
              <w:jc w:val="both"/>
              <w:rPr>
                <w:rFonts w:ascii="Arial" w:hAnsi="Arial" w:eastAsia="Arial" w:cs="Arial"/>
              </w:rPr>
            </w:pPr>
            <w:r>
              <w:rPr>
                <w:rFonts w:ascii="Arial" w:hAnsi="Arial" w:eastAsia="Arial" w:cs="Arial"/>
              </w:rPr>
              <w:t>Criterio de evaluación de propuestas (Art. 59, F. XII, Ley).</w:t>
            </w:r>
          </w:p>
        </w:tc>
        <w:tc>
          <w:tcPr>
            <w:tcW w:w="4679" w:type="dxa"/>
            <w:shd w:val="clear" w:color="auto" w:fill="auto"/>
          </w:tcPr>
          <w:p w14:paraId="4327A95A">
            <w:pPr>
              <w:spacing w:after="0"/>
              <w:ind w:right="-105"/>
              <w:jc w:val="both"/>
              <w:rPr>
                <w:rFonts w:hint="default" w:ascii="Arial" w:hAnsi="Arial" w:eastAsia="Arial" w:cs="Arial"/>
                <w:lang w:val="es-MX"/>
              </w:rPr>
            </w:pPr>
            <w:r>
              <w:rPr>
                <w:rFonts w:ascii="Arial" w:hAnsi="Arial" w:eastAsia="Arial" w:cs="Arial"/>
                <w:lang w:val="es-MX"/>
              </w:rPr>
              <w:t>Binario</w:t>
            </w:r>
          </w:p>
        </w:tc>
      </w:tr>
      <w:tr w14:paraId="7D943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4D82E84">
            <w:pPr>
              <w:spacing w:after="0"/>
              <w:jc w:val="both"/>
              <w:rPr>
                <w:rFonts w:ascii="Arial" w:hAnsi="Arial" w:eastAsia="Arial" w:cs="Arial"/>
              </w:rPr>
            </w:pPr>
            <w:r>
              <w:rPr>
                <w:rFonts w:ascii="Arial" w:hAnsi="Arial" w:eastAsia="Arial" w:cs="Arial"/>
              </w:rPr>
              <w:t>Descripción detallada de los bienes o servicios con requisitos técnicos mínimos, desempeño, cantidades y condiciones de entrega (Art. 59, F. II, Ley).</w:t>
            </w:r>
          </w:p>
        </w:tc>
        <w:tc>
          <w:tcPr>
            <w:tcW w:w="4679" w:type="dxa"/>
            <w:shd w:val="clear" w:color="auto" w:fill="auto"/>
          </w:tcPr>
          <w:p w14:paraId="247D7F95">
            <w:pPr>
              <w:spacing w:after="0"/>
              <w:ind w:right="-105"/>
              <w:jc w:val="both"/>
              <w:rPr>
                <w:rFonts w:ascii="Arial" w:hAnsi="Arial" w:eastAsia="Arial" w:cs="Arial"/>
              </w:rPr>
            </w:pPr>
            <w:r>
              <w:rPr>
                <w:rFonts w:ascii="Arial" w:hAnsi="Arial" w:eastAsia="Arial" w:cs="Arial"/>
              </w:rPr>
              <w:t>Anexo 1</w:t>
            </w:r>
          </w:p>
        </w:tc>
      </w:tr>
      <w:tr w14:paraId="7B3544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3997BDF2">
            <w:pPr>
              <w:spacing w:after="0"/>
              <w:jc w:val="both"/>
              <w:rPr>
                <w:rFonts w:ascii="Arial" w:hAnsi="Arial" w:eastAsia="Arial" w:cs="Arial"/>
              </w:rPr>
            </w:pPr>
            <w:r>
              <w:rPr>
                <w:rFonts w:ascii="Arial" w:hAnsi="Arial" w:eastAsia="Arial" w:cs="Arial"/>
              </w:rPr>
              <w:t>Anexos que cuenta con la relación enumerada de requisitos y documentos que deberán de presentar los licitantes incluyendo:</w:t>
            </w:r>
          </w:p>
          <w:p w14:paraId="0D5EBA2B">
            <w:pPr>
              <w:spacing w:after="0"/>
              <w:jc w:val="both"/>
              <w:rPr>
                <w:rFonts w:ascii="Arial" w:hAnsi="Arial" w:eastAsia="Arial" w:cs="Arial"/>
              </w:rPr>
            </w:pPr>
          </w:p>
          <w:p w14:paraId="0618C184">
            <w:pPr>
              <w:spacing w:after="0"/>
              <w:jc w:val="both"/>
              <w:rPr>
                <w:rFonts w:ascii="Arial" w:hAnsi="Arial" w:eastAsia="Arial" w:cs="Arial"/>
              </w:rPr>
            </w:pPr>
            <w:r>
              <w:rPr>
                <w:rFonts w:ascii="Arial" w:hAnsi="Arial" w:eastAsia="Arial" w:cs="Arial"/>
              </w:rPr>
              <w:t>1.- Acreditación Legal</w:t>
            </w:r>
          </w:p>
          <w:p w14:paraId="7EC499C6">
            <w:pPr>
              <w:spacing w:after="0"/>
              <w:jc w:val="both"/>
              <w:rPr>
                <w:rFonts w:ascii="Arial" w:hAnsi="Arial" w:eastAsia="Arial" w:cs="Arial"/>
              </w:rPr>
            </w:pPr>
          </w:p>
          <w:p w14:paraId="574C434E">
            <w:pPr>
              <w:spacing w:after="0"/>
              <w:jc w:val="both"/>
              <w:rPr>
                <w:rFonts w:ascii="Arial" w:hAnsi="Arial" w:eastAsia="Arial" w:cs="Arial"/>
              </w:rPr>
            </w:pPr>
            <w:r>
              <w:rPr>
                <w:rFonts w:ascii="Arial" w:hAnsi="Arial" w:eastAsia="Arial" w:cs="Arial"/>
              </w:rPr>
              <w:t>2.- Manifestación de NO encontrarse en los supuestos del Art 52 de la Ley</w:t>
            </w:r>
          </w:p>
          <w:p w14:paraId="23BEE346">
            <w:pPr>
              <w:spacing w:after="0"/>
              <w:jc w:val="both"/>
              <w:rPr>
                <w:rFonts w:ascii="Arial" w:hAnsi="Arial" w:eastAsia="Arial" w:cs="Arial"/>
              </w:rPr>
            </w:pPr>
          </w:p>
          <w:p w14:paraId="6D21C965">
            <w:pPr>
              <w:spacing w:after="0"/>
              <w:jc w:val="both"/>
              <w:rPr>
                <w:rFonts w:ascii="Arial" w:hAnsi="Arial" w:eastAsia="Arial" w:cs="Arial"/>
              </w:rPr>
            </w:pPr>
            <w:r>
              <w:rPr>
                <w:rFonts w:ascii="Arial" w:hAnsi="Arial" w:eastAsia="Arial" w:cs="Arial"/>
              </w:rPr>
              <w:t>3.- Manifestación de Integridad y NO colusión</w:t>
            </w:r>
          </w:p>
          <w:p w14:paraId="44382725">
            <w:pPr>
              <w:spacing w:after="0"/>
              <w:jc w:val="both"/>
              <w:rPr>
                <w:rFonts w:ascii="Arial" w:hAnsi="Arial" w:eastAsia="Arial" w:cs="Arial"/>
              </w:rPr>
            </w:pPr>
          </w:p>
          <w:p w14:paraId="39428F3B">
            <w:pPr>
              <w:spacing w:after="0"/>
              <w:jc w:val="both"/>
              <w:rPr>
                <w:rFonts w:ascii="Arial" w:hAnsi="Arial" w:eastAsia="Arial" w:cs="Arial"/>
              </w:rPr>
            </w:pPr>
            <w:r>
              <w:rPr>
                <w:rFonts w:ascii="Arial" w:hAnsi="Arial" w:eastAsia="Arial" w:cs="Arial"/>
              </w:rPr>
              <w:t>4.- Demás requisitos que sean solicitados</w:t>
            </w:r>
          </w:p>
        </w:tc>
        <w:tc>
          <w:tcPr>
            <w:tcW w:w="4679" w:type="dxa"/>
            <w:shd w:val="clear" w:color="auto" w:fill="auto"/>
          </w:tcPr>
          <w:p w14:paraId="497DADA3">
            <w:pPr>
              <w:spacing w:after="0"/>
              <w:ind w:right="622"/>
              <w:jc w:val="both"/>
              <w:rPr>
                <w:rFonts w:ascii="Arial" w:hAnsi="Arial" w:eastAsia="Arial" w:cs="Arial"/>
              </w:rPr>
            </w:pPr>
          </w:p>
          <w:p w14:paraId="757B32EF">
            <w:pPr>
              <w:spacing w:after="0"/>
              <w:ind w:right="622"/>
              <w:jc w:val="both"/>
              <w:rPr>
                <w:rFonts w:ascii="Arial" w:hAnsi="Arial" w:eastAsia="Arial" w:cs="Arial"/>
              </w:rPr>
            </w:pPr>
          </w:p>
          <w:p w14:paraId="125DEA2C">
            <w:pPr>
              <w:spacing w:after="0"/>
              <w:ind w:right="622"/>
              <w:jc w:val="both"/>
              <w:rPr>
                <w:rFonts w:ascii="Arial" w:hAnsi="Arial" w:eastAsia="Arial" w:cs="Arial"/>
              </w:rPr>
            </w:pPr>
          </w:p>
          <w:p w14:paraId="37ED4A77">
            <w:pPr>
              <w:spacing w:after="0"/>
              <w:ind w:right="622"/>
              <w:jc w:val="both"/>
              <w:rPr>
                <w:rFonts w:ascii="Arial" w:hAnsi="Arial" w:eastAsia="Arial" w:cs="Arial"/>
              </w:rPr>
            </w:pPr>
          </w:p>
          <w:p w14:paraId="254E7EB7">
            <w:pPr>
              <w:spacing w:after="0"/>
              <w:ind w:right="622"/>
              <w:jc w:val="both"/>
              <w:rPr>
                <w:rFonts w:ascii="Arial" w:hAnsi="Arial" w:eastAsia="Arial" w:cs="Arial"/>
              </w:rPr>
            </w:pPr>
            <w:r>
              <w:rPr>
                <w:rFonts w:ascii="Arial" w:hAnsi="Arial" w:eastAsia="Arial" w:cs="Arial"/>
              </w:rPr>
              <w:t xml:space="preserve">              Anexo 3</w:t>
            </w:r>
            <w:r>
              <w:rPr>
                <w:rFonts w:ascii="Arial" w:hAnsi="Arial" w:cs="Arial"/>
              </w:rPr>
              <mc:AlternateContent>
                <mc:Choice Requires="wps">
                  <w:drawing>
                    <wp:anchor distT="0" distB="0" distL="114300" distR="114300" simplePos="0" relativeHeight="251660288"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61" o:spid="_x0000_s1026" o:spt="1" style="position:absolute;left:0pt;margin-left:3pt;margin-top:0pt;height:13.5pt;width:32.5pt;z-index:251660288;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DUhO7E1gAAAAQBAAAPAAAAAAAAAAEAIAAA&#10;ACIAAABkcnMvZG93bnJldi54bWxQSwECFAAUAAAACACHTuJAWYUevEcCAAC2BAAADgAAAAAAAAAB&#10;ACAAAAAlAQAAZHJzL2Uyb0RvYy54bWxQSwUGAAAAAAYABgBZAQAA3gU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1BA4E014">
                            <w:pPr>
                              <w:spacing w:after="0" w:line="240" w:lineRule="auto"/>
                            </w:pPr>
                          </w:p>
                        </w:txbxContent>
                      </v:textbox>
                    </v:rect>
                  </w:pict>
                </mc:Fallback>
              </mc:AlternateContent>
            </w:r>
          </w:p>
          <w:p w14:paraId="4F5FF0E5">
            <w:pPr>
              <w:spacing w:after="0"/>
              <w:ind w:right="622"/>
              <w:jc w:val="both"/>
              <w:rPr>
                <w:rFonts w:ascii="Arial" w:hAnsi="Arial" w:eastAsia="Arial" w:cs="Arial"/>
              </w:rPr>
            </w:pPr>
          </w:p>
          <w:p w14:paraId="2EA966CC">
            <w:pPr>
              <w:spacing w:after="0"/>
              <w:ind w:right="622"/>
              <w:jc w:val="both"/>
              <w:rPr>
                <w:rFonts w:ascii="Arial" w:hAnsi="Arial" w:eastAsia="Arial" w:cs="Arial"/>
              </w:rPr>
            </w:pPr>
            <w:r>
              <w:rPr>
                <w:rFonts w:ascii="Arial" w:hAnsi="Arial" w:eastAsia="Arial" w:cs="Arial"/>
              </w:rPr>
              <w:t xml:space="preserve">              Anexo 4</w:t>
            </w:r>
            <w:r>
              <w:rPr>
                <w:rFonts w:ascii="Arial" w:hAnsi="Arial" w:cs="Arial"/>
              </w:rPr>
              <mc:AlternateContent>
                <mc:Choice Requires="wps">
                  <w:drawing>
                    <wp:anchor distT="0" distB="0" distL="114300" distR="114300" simplePos="0" relativeHeight="251661312"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63" o:spid="_x0000_s1026" o:spt="1" style="position:absolute;left:0pt;margin-left:3pt;margin-top:0pt;height:13.5pt;width:32.5pt;z-index:251661312;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NSE7sTWAAAABAEAAA8AAAAAAAAAAQAgAAAA&#10;IgAAAGRycy9kb3ducmV2LnhtbFBLAQIUABQAAAAIAIdO4kBz7i8QRgIAALYEAAAOAAAAAAAAAAEA&#10;IAAAACUBAABkcnMvZTJvRG9jLnhtbFBLBQYAAAAABgAGAFkBAADdBQ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53DD4085">
                            <w:pPr>
                              <w:spacing w:after="0" w:line="240" w:lineRule="auto"/>
                            </w:pPr>
                          </w:p>
                        </w:txbxContent>
                      </v:textbox>
                    </v:rect>
                  </w:pict>
                </mc:Fallback>
              </mc:AlternateContent>
            </w:r>
          </w:p>
          <w:p w14:paraId="33D95F46">
            <w:pPr>
              <w:spacing w:after="0"/>
              <w:ind w:right="622"/>
              <w:jc w:val="both"/>
              <w:rPr>
                <w:rFonts w:ascii="Arial" w:hAnsi="Arial" w:eastAsia="Arial" w:cs="Arial"/>
              </w:rPr>
            </w:pPr>
          </w:p>
          <w:p w14:paraId="3528DEFD">
            <w:pPr>
              <w:spacing w:after="0"/>
              <w:ind w:right="622"/>
              <w:jc w:val="both"/>
              <w:rPr>
                <w:rFonts w:ascii="Arial" w:hAnsi="Arial" w:eastAsia="Arial" w:cs="Arial"/>
              </w:rPr>
            </w:pPr>
          </w:p>
          <w:p w14:paraId="7BFF7296">
            <w:pPr>
              <w:spacing w:after="0"/>
              <w:ind w:right="622"/>
              <w:jc w:val="both"/>
              <w:rPr>
                <w:rFonts w:ascii="Arial" w:hAnsi="Arial" w:eastAsia="Arial" w:cs="Arial"/>
              </w:rPr>
            </w:pPr>
            <w:r>
              <w:rPr>
                <w:rFonts w:ascii="Arial" w:hAnsi="Arial" w:eastAsia="Arial" w:cs="Arial"/>
              </w:rPr>
              <w:t xml:space="preserve">              Anexo 4</w:t>
            </w:r>
            <w:r>
              <w:rPr>
                <w:rFonts w:ascii="Arial" w:hAnsi="Arial" w:cs="Arial"/>
              </w:rPr>
              <mc:AlternateContent>
                <mc:Choice Requires="wps">
                  <w:drawing>
                    <wp:anchor distT="0" distB="0" distL="114300" distR="114300" simplePos="0" relativeHeight="251662336"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59" o:spid="_x0000_s1026" o:spt="1" style="position:absolute;left:0pt;margin-left:3pt;margin-top:0pt;height:13.5pt;width:32.5pt;z-index:251662336;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1ITuxNYAAAAEAQAADwAAAAAAAAABACAA&#10;AAAiAAAAZHJzL2Rvd25yZXYueG1sUEsBAhQAFAAAAAgAh07iQPGkbDpIAgAAtgQAAA4AAAAAAAAA&#10;AQAgAAAAJQEAAGRycy9lMm9Eb2MueG1sUEsFBgAAAAAGAAYAWQEAAN8FA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45F5E8F1">
                            <w:pPr>
                              <w:spacing w:after="0" w:line="240" w:lineRule="auto"/>
                            </w:pPr>
                          </w:p>
                        </w:txbxContent>
                      </v:textbox>
                    </v:rect>
                  </w:pict>
                </mc:Fallback>
              </mc:AlternateContent>
            </w:r>
          </w:p>
          <w:p w14:paraId="11DBED2A">
            <w:pPr>
              <w:spacing w:after="0"/>
              <w:ind w:right="622"/>
              <w:jc w:val="both"/>
              <w:rPr>
                <w:rFonts w:ascii="Arial" w:hAnsi="Arial" w:eastAsia="Arial" w:cs="Arial"/>
              </w:rPr>
            </w:pPr>
          </w:p>
          <w:p w14:paraId="3D2623B9">
            <w:pPr>
              <w:spacing w:after="0"/>
              <w:ind w:right="622"/>
              <w:jc w:val="both"/>
              <w:rPr>
                <w:rFonts w:ascii="Arial" w:hAnsi="Arial" w:eastAsia="Arial" w:cs="Arial"/>
              </w:rPr>
            </w:pPr>
            <w:r>
              <w:rPr>
                <w:rFonts w:ascii="Arial" w:hAnsi="Arial" w:eastAsia="Arial" w:cs="Arial"/>
              </w:rPr>
              <w:t xml:space="preserve">              Anexo 1 y 2</w:t>
            </w:r>
            <w:r>
              <w:rPr>
                <w:rFonts w:ascii="Arial" w:hAnsi="Arial" w:cs="Arial"/>
              </w:rPr>
              <mc:AlternateContent>
                <mc:Choice Requires="wps">
                  <w:drawing>
                    <wp:anchor distT="0" distB="0" distL="114300" distR="114300" simplePos="0" relativeHeight="251663360" behindDoc="0" locked="0" layoutInCell="1" allowOverlap="1">
                      <wp:simplePos x="0" y="0"/>
                      <wp:positionH relativeFrom="column">
                        <wp:posOffset>38100</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pPr>
                                    <w:spacing w:after="0" w:line="240" w:lineRule="auto"/>
                                  </w:pPr>
                                </w:p>
                              </w:txbxContent>
                            </wps:txbx>
                            <wps:bodyPr spcFirstLastPara="1" wrap="square" lIns="91425" tIns="91425" rIns="91425" bIns="91425" anchor="ctr" anchorCtr="0">
                              <a:noAutofit/>
                            </wps:bodyPr>
                          </wps:wsp>
                        </a:graphicData>
                      </a:graphic>
                    </wp:anchor>
                  </w:drawing>
                </mc:Choice>
                <mc:Fallback>
                  <w:pict>
                    <v:rect id="Rectangle 68" o:spid="_x0000_s1026" o:spt="1" style="position:absolute;left:0pt;margin-left:3pt;margin-top:0pt;height:13.5pt;width:32.5pt;z-index:251663360;v-text-anchor:middle;mso-width-relative:page;mso-height-relative:page;" fillcolor="#4F81BD" filled="t" stroked="t" coordsize="21600,21600" o:gfxdata="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NSE7sTWAAAABAEAAA8AAAAAAAAAAQAgAAAA&#10;IgAAAGRycy9kb3ducmV2LnhtbFBLAQIUABQAAAAIAIdO4kCnllA3RgIAALYEAAAOAAAAAAAAAAEA&#10;IAAAACUBAABkcnMvZTJvRG9jLnhtbFBLBQYAAAAABgAGAFkBAADdBQAAAAA=&#10;">
                      <v:fill on="t" focussize="0,0"/>
                      <v:stroke weight="2pt" color="#395E89" joinstyle="round" startarrowwidth="narrow" startarrowlength="short" endarrowwidth="narrow" endarrowlength="short"/>
                      <v:imagedata o:title=""/>
                      <o:lock v:ext="edit" aspectratio="f"/>
                      <v:textbox inset="7.1988188976378pt,7.1988188976378pt,7.1988188976378pt,7.1988188976378pt">
                        <w:txbxContent>
                          <w:p w14:paraId="54B69C4F">
                            <w:pPr>
                              <w:spacing w:after="0" w:line="240" w:lineRule="auto"/>
                            </w:pPr>
                          </w:p>
                        </w:txbxContent>
                      </v:textbox>
                    </v:rect>
                  </w:pict>
                </mc:Fallback>
              </mc:AlternateContent>
            </w:r>
          </w:p>
        </w:tc>
      </w:tr>
      <w:tr w14:paraId="7A03CE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458929FD">
            <w:pPr>
              <w:spacing w:after="0"/>
              <w:jc w:val="both"/>
              <w:rPr>
                <w:rFonts w:ascii="Arial" w:hAnsi="Arial" w:eastAsia="Arial" w:cs="Arial"/>
              </w:rPr>
            </w:pPr>
            <w:r>
              <w:rPr>
                <w:rFonts w:ascii="Arial" w:hAnsi="Arial" w:eastAsia="Arial" w:cs="Arial"/>
              </w:rPr>
              <w:t>Plazo de presentación de propuestas (Art. 60, Ley).</w:t>
            </w:r>
          </w:p>
        </w:tc>
        <w:tc>
          <w:tcPr>
            <w:tcW w:w="4679" w:type="dxa"/>
            <w:shd w:val="clear" w:color="auto" w:fill="auto"/>
          </w:tcPr>
          <w:p w14:paraId="3A1CB2CA">
            <w:pPr>
              <w:spacing w:after="0"/>
              <w:ind w:right="-105"/>
              <w:jc w:val="both"/>
              <w:rPr>
                <w:rFonts w:ascii="Arial" w:hAnsi="Arial" w:eastAsia="Arial" w:cs="Arial"/>
              </w:rPr>
            </w:pPr>
            <w:r>
              <w:rPr>
                <w:rFonts w:ascii="Arial" w:hAnsi="Arial" w:eastAsia="Arial" w:cs="Arial"/>
              </w:rPr>
              <w:t xml:space="preserve">Normal: </w:t>
            </w:r>
            <w:r>
              <w:rPr>
                <w:rFonts w:hint="default" w:ascii="Arial" w:hAnsi="Arial" w:eastAsia="Arial" w:cs="Arial"/>
                <w:b/>
                <w:bCs/>
                <w:lang w:val="es-MX"/>
              </w:rPr>
              <w:t xml:space="preserve">14 </w:t>
            </w:r>
            <w:r>
              <w:rPr>
                <w:rFonts w:ascii="Arial" w:hAnsi="Arial" w:eastAsia="Arial" w:cs="Arial"/>
                <w:b/>
                <w:bCs/>
              </w:rPr>
              <w:t>d</w:t>
            </w:r>
            <w:r>
              <w:rPr>
                <w:rFonts w:ascii="Arial" w:hAnsi="Arial" w:eastAsia="Arial" w:cs="Arial"/>
                <w:b/>
              </w:rPr>
              <w:t>ías</w:t>
            </w:r>
            <w:r>
              <w:rPr>
                <w:rFonts w:ascii="Arial" w:hAnsi="Arial" w:eastAsia="Arial" w:cs="Arial"/>
              </w:rPr>
              <w:t xml:space="preserve"> (</w:t>
            </w:r>
            <w:r>
              <w:rPr>
                <w:rFonts w:hint="default" w:ascii="Arial" w:hAnsi="Arial" w:eastAsia="Arial" w:cs="Arial"/>
                <w:lang w:val="es-MX"/>
              </w:rPr>
              <w:t>supera</w:t>
            </w:r>
            <w:r>
              <w:rPr>
                <w:rFonts w:ascii="Arial" w:hAnsi="Arial" w:eastAsia="Arial" w:cs="Arial"/>
              </w:rPr>
              <w:t>)</w:t>
            </w:r>
          </w:p>
        </w:tc>
      </w:tr>
      <w:tr w14:paraId="09D2EE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c>
          <w:tcPr>
            <w:tcW w:w="4819" w:type="dxa"/>
            <w:shd w:val="clear" w:color="auto" w:fill="auto"/>
          </w:tcPr>
          <w:p w14:paraId="7F0638F8">
            <w:pPr>
              <w:spacing w:after="0"/>
              <w:jc w:val="both"/>
              <w:rPr>
                <w:rFonts w:ascii="Arial" w:hAnsi="Arial" w:eastAsia="Arial" w:cs="Arial"/>
              </w:rPr>
            </w:pPr>
            <w:r>
              <w:rPr>
                <w:rFonts w:ascii="Arial" w:hAnsi="Arial" w:eastAsia="Arial" w:cs="Arial"/>
              </w:rPr>
              <w:t>Domicilio de las Oficinas del Órgano Interno de Control Municipal lugar donde podrán presentarse inconformidades.</w:t>
            </w:r>
          </w:p>
        </w:tc>
        <w:tc>
          <w:tcPr>
            <w:tcW w:w="4679" w:type="dxa"/>
            <w:shd w:val="clear" w:color="auto" w:fill="auto"/>
          </w:tcPr>
          <w:p w14:paraId="2CC48299">
            <w:pPr>
              <w:spacing w:after="0"/>
              <w:ind w:right="-105"/>
              <w:jc w:val="both"/>
              <w:rPr>
                <w:rFonts w:ascii="Arial" w:hAnsi="Arial" w:eastAsia="Arial" w:cs="Arial"/>
              </w:rPr>
            </w:pPr>
            <w:r>
              <w:rPr>
                <w:rFonts w:ascii="Arial" w:hAnsi="Arial" w:eastAsia="Arial" w:cs="Arial"/>
              </w:rPr>
              <w:t>Independencia 105 Sur, colonia centro en Tlajomulco de Zúñiga, Jalisco</w:t>
            </w:r>
          </w:p>
        </w:tc>
      </w:tr>
    </w:tbl>
    <w:p w14:paraId="7C217DFA">
      <w:pPr>
        <w:pBdr>
          <w:top w:val="none" w:color="auto" w:sz="0" w:space="0"/>
          <w:left w:val="none" w:color="auto" w:sz="0" w:space="0"/>
          <w:bottom w:val="none" w:color="auto" w:sz="0" w:space="0"/>
          <w:right w:val="none" w:color="auto" w:sz="0" w:space="0"/>
          <w:between w:val="none" w:color="auto" w:sz="0" w:space="0"/>
        </w:pBdr>
        <w:spacing w:after="0"/>
        <w:ind w:right="622"/>
        <w:rPr>
          <w:rFonts w:ascii="Arial" w:hAnsi="Arial" w:eastAsia="Arial" w:cs="Arial"/>
          <w:color w:val="000000"/>
        </w:rPr>
      </w:pPr>
    </w:p>
    <w:p w14:paraId="2BEAD1CA">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both"/>
        <w:rPr>
          <w:rFonts w:ascii="Arial" w:hAnsi="Arial" w:eastAsia="Arial" w:cs="Arial"/>
          <w:color w:val="000000"/>
        </w:rPr>
      </w:pPr>
      <w:r>
        <w:rPr>
          <w:rFonts w:ascii="Arial" w:hAnsi="Arial" w:eastAsia="Arial" w:cs="Arial"/>
          <w:color w:val="000000"/>
        </w:rPr>
        <w:t>Para los fines de estas bases, se entiende por:</w:t>
      </w:r>
    </w:p>
    <w:p w14:paraId="6A7EF07F">
      <w:pPr>
        <w:pBdr>
          <w:top w:val="none" w:color="auto" w:sz="0" w:space="0"/>
          <w:left w:val="none" w:color="auto" w:sz="0" w:space="0"/>
          <w:bottom w:val="none" w:color="auto" w:sz="0" w:space="0"/>
          <w:right w:val="none" w:color="auto" w:sz="0" w:space="0"/>
          <w:between w:val="none" w:color="auto" w:sz="0" w:space="0"/>
        </w:pBdr>
        <w:spacing w:after="0" w:line="240" w:lineRule="auto"/>
        <w:ind w:right="622"/>
        <w:jc w:val="both"/>
        <w:rPr>
          <w:rFonts w:ascii="Arial" w:hAnsi="Arial" w:eastAsia="Arial" w:cs="Arial"/>
          <w:color w:val="000000"/>
        </w:rPr>
      </w:pPr>
    </w:p>
    <w:tbl>
      <w:tblPr>
        <w:tblStyle w:val="162"/>
        <w:tblW w:w="9781" w:type="dxa"/>
        <w:tblInd w:w="0"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Layout w:type="fixed"/>
        <w:tblCellMar>
          <w:top w:w="0" w:type="dxa"/>
          <w:left w:w="115" w:type="dxa"/>
          <w:bottom w:w="0" w:type="dxa"/>
          <w:right w:w="115" w:type="dxa"/>
        </w:tblCellMar>
      </w:tblPr>
      <w:tblGrid>
        <w:gridCol w:w="2294"/>
        <w:gridCol w:w="7487"/>
      </w:tblGrid>
      <w:tr w14:paraId="26E415B1">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22DD283B">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“CONVOCANTE”</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195D2F16">
            <w:pPr>
              <w:pBdr>
                <w:top w:val="none" w:color="auto" w:sz="0" w:space="0"/>
                <w:left w:val="none" w:color="auto" w:sz="0" w:space="0"/>
                <w:bottom w:val="none" w:color="auto" w:sz="0" w:space="0"/>
                <w:right w:val="none" w:color="auto" w:sz="0" w:space="0"/>
                <w:between w:val="none" w:color="auto" w:sz="0" w:space="0"/>
              </w:pBdr>
              <w:spacing w:after="0"/>
              <w:ind w:right="-5"/>
              <w:rPr>
                <w:rFonts w:ascii="Arial" w:hAnsi="Arial" w:eastAsia="Arial" w:cs="Arial"/>
                <w:color w:val="000000"/>
              </w:rPr>
            </w:pPr>
            <w:r>
              <w:rPr>
                <w:rFonts w:ascii="Arial" w:hAnsi="Arial" w:eastAsia="Arial" w:cs="Arial"/>
                <w:color w:val="000000"/>
              </w:rPr>
              <w:t>Municipio de Tlajomulco de Zúñiga, Jalisco</w:t>
            </w:r>
          </w:p>
        </w:tc>
      </w:tr>
      <w:tr w14:paraId="2DC8D0AA">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1720F1B5">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“DOMICILIO”</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5E56E64">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 xml:space="preserve">Higuera No. 70, Col. Centro, Tlajomulco de Zúñiga, Jalisco. </w:t>
            </w:r>
          </w:p>
        </w:tc>
      </w:tr>
      <w:tr w14:paraId="2BEE9C9C">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0BF9D789">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“COMITÉ”</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0ACE6B14">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Comité de Adquisiciones del Municipio de Tlajomulco de Zúñiga, Jalisco</w:t>
            </w:r>
          </w:p>
        </w:tc>
      </w:tr>
      <w:tr w14:paraId="7985F1DC">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79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7BFAC4F1">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“UNIDAD CENTRALIZADA DE COMPRAS”</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5E623B33">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Unidad Centralizada de Compras de Recursos Materiales (Higuera no. 70, primer piso del Centro Administrativo Tlajomulco CAT, Colonia. Centro, Tlajomulco de Zúñiga, Jalisco).</w:t>
            </w:r>
          </w:p>
        </w:tc>
      </w:tr>
      <w:tr w14:paraId="299EDA58">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48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229C7910">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“LEY”</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7DD2344">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Ley de Compras Gubernamentales, Enajenaciones y Contratación de Servicios del Estado de Jalisco y sus Municipios</w:t>
            </w:r>
          </w:p>
        </w:tc>
      </w:tr>
      <w:tr w14:paraId="7AB84E6D">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4E2B385C">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 xml:space="preserve">“LICITANTE” </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B1E0BD1">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Persona Física o Moral (Razón Social) Licitante en el proceso de licitación.</w:t>
            </w:r>
          </w:p>
        </w:tc>
      </w:tr>
      <w:tr w14:paraId="1CE99BB5">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48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0BA5B565">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“REGLAMENTO”</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F2C98AA">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Reglamento de Adquisiciones para el Municipio de Tlajomulco de Zúñiga, Jalisco</w:t>
            </w:r>
          </w:p>
        </w:tc>
      </w:tr>
      <w:tr w14:paraId="388BACF7">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24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49074299">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“PROVEEDOR”</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3692CB3D">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Licitante Adjudicado.</w:t>
            </w:r>
          </w:p>
        </w:tc>
      </w:tr>
      <w:tr w14:paraId="21C4E136">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15" w:type="dxa"/>
            <w:bottom w:w="0" w:type="dxa"/>
            <w:right w:w="115" w:type="dxa"/>
          </w:tblCellMar>
        </w:tblPrEx>
        <w:trPr>
          <w:trHeight w:val="723" w:hRule="atLeast"/>
        </w:trPr>
        <w:tc>
          <w:tcPr>
            <w:tcW w:w="22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61775659">
            <w:pPr>
              <w:pBdr>
                <w:top w:val="none" w:color="auto" w:sz="0" w:space="0"/>
                <w:left w:val="none" w:color="auto" w:sz="0" w:space="0"/>
                <w:bottom w:val="none" w:color="auto" w:sz="0" w:space="0"/>
                <w:right w:val="none" w:color="auto" w:sz="0" w:space="0"/>
                <w:between w:val="none" w:color="auto" w:sz="0" w:space="0"/>
              </w:pBdr>
              <w:spacing w:after="0"/>
              <w:rPr>
                <w:rFonts w:ascii="Arial" w:hAnsi="Arial" w:eastAsia="Arial" w:cs="Arial"/>
                <w:color w:val="000000"/>
              </w:rPr>
            </w:pPr>
            <w:r>
              <w:rPr>
                <w:rFonts w:ascii="Arial" w:hAnsi="Arial" w:eastAsia="Arial" w:cs="Arial"/>
                <w:b/>
                <w:color w:val="000000"/>
              </w:rPr>
              <w:t>“PROCESO”</w:t>
            </w:r>
          </w:p>
        </w:tc>
        <w:tc>
          <w:tcPr>
            <w:tcW w:w="7487"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14:paraId="3A386D46">
            <w:pPr>
              <w:pBdr>
                <w:top w:val="none" w:color="auto" w:sz="0" w:space="0"/>
                <w:left w:val="none" w:color="auto" w:sz="0" w:space="0"/>
                <w:bottom w:val="none" w:color="auto" w:sz="0" w:space="0"/>
                <w:right w:val="none" w:color="auto" w:sz="0" w:space="0"/>
                <w:between w:val="none" w:color="auto" w:sz="0" w:space="0"/>
              </w:pBdr>
              <w:spacing w:after="0" w:line="240" w:lineRule="auto"/>
              <w:ind w:right="-5"/>
              <w:jc w:val="both"/>
              <w:rPr>
                <w:rFonts w:ascii="Arial" w:hAnsi="Arial" w:eastAsia="Arial" w:cs="Arial"/>
                <w:color w:val="000000"/>
              </w:rPr>
            </w:pPr>
            <w:r>
              <w:rPr>
                <w:rFonts w:ascii="Arial" w:hAnsi="Arial" w:eastAsia="Arial" w:cs="Arial"/>
                <w:color w:val="000000"/>
              </w:rPr>
              <w:t xml:space="preserve">La adquisición de: </w:t>
            </w:r>
            <w:r>
              <w:rPr>
                <w:rFonts w:ascii="Arial" w:hAnsi="Arial" w:eastAsia="Arial" w:cs="Arial"/>
                <w:b/>
                <w:color w:val="000000"/>
              </w:rPr>
              <w:t>“</w:t>
            </w:r>
            <w:r>
              <w:rPr>
                <w:rFonts w:ascii="Arial" w:hAnsi="Arial" w:eastAsia="Arial" w:cs="Arial"/>
                <w:b/>
                <w:color w:val="000000"/>
                <w:lang w:val="es-MX"/>
              </w:rPr>
              <w:t>OM-52/2024</w:t>
            </w:r>
            <w:r>
              <w:rPr>
                <w:rFonts w:ascii="Arial" w:hAnsi="Arial" w:eastAsia="Arial" w:cs="Arial"/>
                <w:b/>
                <w:color w:val="000000"/>
              </w:rPr>
              <w:t xml:space="preserve"> “ADQUISICIÓN </w:t>
            </w:r>
            <w:r>
              <w:rPr>
                <w:rFonts w:ascii="Arial" w:hAnsi="Arial" w:eastAsia="Arial" w:cs="Arial"/>
                <w:b/>
                <w:color w:val="000000"/>
                <w:lang w:val="es-MX"/>
              </w:rPr>
              <w:t>DEL SERVICIO DE ACTUALIZACIÓN DE RIESGOS GEOLÓGICOS E HIDROMETEROLOGICOS PARA EL GOBIERNO MUNICIPAL DE TLAJOMULCO DE ZÚÑIGA, JALISCO</w:t>
            </w:r>
            <w:r>
              <w:rPr>
                <w:rFonts w:ascii="Arial" w:hAnsi="Arial" w:eastAsia="Arial" w:cs="Arial"/>
                <w:b/>
                <w:color w:val="000000"/>
              </w:rPr>
              <w:t xml:space="preserve">” </w:t>
            </w:r>
            <w:r>
              <w:rPr>
                <w:rFonts w:ascii="Arial" w:hAnsi="Arial" w:eastAsia="Arial" w:cs="Arial"/>
                <w:color w:val="000000"/>
              </w:rPr>
              <w:t>los cuales están descritos en los anexos de las presentes bases.</w:t>
            </w:r>
          </w:p>
        </w:tc>
      </w:tr>
    </w:tbl>
    <w:p w14:paraId="190092BC">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both"/>
        <w:rPr>
          <w:rFonts w:ascii="Arial" w:hAnsi="Arial" w:eastAsia="Arial" w:cs="Arial"/>
          <w:color w:val="000000"/>
        </w:rPr>
      </w:pPr>
    </w:p>
    <w:p w14:paraId="6E87E3C3">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both"/>
        <w:rPr>
          <w:rFonts w:ascii="Arial" w:hAnsi="Arial" w:eastAsia="Arial" w:cs="Arial"/>
          <w:color w:val="000000"/>
        </w:rPr>
      </w:pPr>
    </w:p>
    <w:p w14:paraId="19192FF3">
      <w:pPr>
        <w:widowControl w:val="0"/>
        <w:pBdr>
          <w:top w:val="none" w:color="auto" w:sz="0" w:space="0"/>
          <w:left w:val="none" w:color="auto" w:sz="0" w:space="0"/>
          <w:bottom w:val="none" w:color="auto" w:sz="0" w:space="0"/>
          <w:right w:val="none" w:color="auto" w:sz="0" w:space="0"/>
          <w:between w:val="none" w:color="auto" w:sz="0" w:space="0"/>
        </w:pBdr>
        <w:tabs>
          <w:tab w:val="left" w:pos="9680"/>
        </w:tabs>
        <w:spacing w:after="0" w:line="240" w:lineRule="auto"/>
        <w:ind w:right="16" w:rightChars="0"/>
        <w:jc w:val="both"/>
        <w:rPr>
          <w:rFonts w:ascii="Arial" w:hAnsi="Arial" w:eastAsia="Arial" w:cs="Arial"/>
          <w:color w:val="000000"/>
        </w:rPr>
      </w:pPr>
      <w:r>
        <w:rPr>
          <w:rFonts w:ascii="Arial" w:hAnsi="Arial" w:eastAsia="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4FEED080">
      <w:pPr>
        <w:pBdr>
          <w:top w:val="none" w:color="auto" w:sz="0" w:space="0"/>
          <w:left w:val="none" w:color="auto" w:sz="0" w:space="0"/>
          <w:bottom w:val="none" w:color="auto" w:sz="0" w:space="0"/>
          <w:right w:val="none" w:color="auto" w:sz="0" w:space="0"/>
          <w:between w:val="none" w:color="auto" w:sz="0" w:space="0"/>
        </w:pBdr>
        <w:tabs>
          <w:tab w:val="left" w:pos="9680"/>
        </w:tabs>
        <w:spacing w:after="0" w:line="240" w:lineRule="auto"/>
        <w:ind w:right="16" w:rightChars="0"/>
        <w:jc w:val="both"/>
        <w:rPr>
          <w:rFonts w:ascii="Arial" w:hAnsi="Arial" w:eastAsia="Arial" w:cs="Arial"/>
          <w:color w:val="000000"/>
        </w:rPr>
      </w:pPr>
    </w:p>
    <w:p w14:paraId="26148B2B">
      <w:pPr>
        <w:pBdr>
          <w:top w:val="none" w:color="auto" w:sz="0" w:space="0"/>
          <w:left w:val="none" w:color="auto" w:sz="0" w:space="0"/>
          <w:bottom w:val="none" w:color="auto" w:sz="0" w:space="0"/>
          <w:right w:val="none" w:color="auto" w:sz="0" w:space="0"/>
          <w:between w:val="none" w:color="auto" w:sz="0" w:space="0"/>
        </w:pBdr>
        <w:tabs>
          <w:tab w:val="left" w:pos="9680"/>
        </w:tabs>
        <w:spacing w:after="0"/>
        <w:ind w:right="16" w:rightChars="0"/>
        <w:jc w:val="center"/>
        <w:rPr>
          <w:rFonts w:ascii="Arial" w:hAnsi="Arial" w:eastAsia="Arial" w:cs="Arial"/>
          <w:color w:val="000000"/>
          <w:lang w:val="de-DE"/>
        </w:rPr>
      </w:pPr>
      <w:r>
        <w:rPr>
          <w:rFonts w:ascii="Arial" w:hAnsi="Arial" w:eastAsia="Arial" w:cs="Arial"/>
          <w:color w:val="000000"/>
          <w:lang w:val="de-DE"/>
        </w:rPr>
        <w:t>A t e n t a m e n t e</w:t>
      </w:r>
    </w:p>
    <w:p w14:paraId="1EB4DA3B">
      <w:pPr>
        <w:pBdr>
          <w:top w:val="none" w:color="auto" w:sz="0" w:space="0"/>
          <w:left w:val="none" w:color="auto" w:sz="0" w:space="0"/>
          <w:bottom w:val="none" w:color="auto" w:sz="0" w:space="0"/>
          <w:right w:val="none" w:color="auto" w:sz="0" w:space="0"/>
          <w:between w:val="none" w:color="auto" w:sz="0" w:space="0"/>
        </w:pBdr>
        <w:tabs>
          <w:tab w:val="left" w:pos="9680"/>
        </w:tabs>
        <w:spacing w:after="0"/>
        <w:ind w:right="16" w:rightChars="0"/>
        <w:jc w:val="center"/>
        <w:rPr>
          <w:rFonts w:ascii="Arial" w:hAnsi="Arial" w:eastAsia="Arial" w:cs="Arial"/>
          <w:color w:val="000000"/>
          <w:lang w:val="de-DE"/>
        </w:rPr>
      </w:pPr>
    </w:p>
    <w:p w14:paraId="3C11AA16">
      <w:pPr>
        <w:pBdr>
          <w:top w:val="none" w:color="auto" w:sz="0" w:space="0"/>
          <w:left w:val="none" w:color="auto" w:sz="0" w:space="0"/>
          <w:bottom w:val="none" w:color="auto" w:sz="0" w:space="0"/>
          <w:right w:val="none" w:color="auto" w:sz="0" w:space="0"/>
          <w:between w:val="none" w:color="auto" w:sz="0" w:space="0"/>
        </w:pBdr>
        <w:tabs>
          <w:tab w:val="left" w:pos="9680"/>
        </w:tabs>
        <w:spacing w:after="0"/>
        <w:ind w:right="16" w:rightChars="0"/>
        <w:jc w:val="center"/>
        <w:rPr>
          <w:rFonts w:ascii="Arial" w:hAnsi="Arial" w:eastAsia="Arial" w:cs="Arial"/>
          <w:color w:val="000000"/>
          <w:lang w:val="de-DE"/>
        </w:rPr>
      </w:pPr>
    </w:p>
    <w:p w14:paraId="7EC550EE">
      <w:pPr>
        <w:pBdr>
          <w:top w:val="none" w:color="auto" w:sz="0" w:space="0"/>
          <w:left w:val="none" w:color="auto" w:sz="0" w:space="0"/>
          <w:bottom w:val="none" w:color="auto" w:sz="0" w:space="0"/>
          <w:right w:val="none" w:color="auto" w:sz="0" w:space="0"/>
          <w:between w:val="none" w:color="auto" w:sz="0" w:space="0"/>
        </w:pBdr>
        <w:tabs>
          <w:tab w:val="left" w:pos="9680"/>
        </w:tabs>
        <w:spacing w:after="0"/>
        <w:ind w:right="16" w:rightChars="0"/>
        <w:jc w:val="center"/>
        <w:rPr>
          <w:rFonts w:ascii="Arial" w:hAnsi="Arial" w:eastAsia="Arial" w:cs="Arial"/>
          <w:color w:val="000000"/>
          <w:lang w:val="de-DE"/>
        </w:rPr>
      </w:pPr>
    </w:p>
    <w:p w14:paraId="2FBFE8E3">
      <w:pPr>
        <w:tabs>
          <w:tab w:val="left" w:pos="9680"/>
        </w:tabs>
        <w:spacing w:after="0"/>
        <w:ind w:right="16" w:rightChars="0"/>
        <w:jc w:val="center"/>
        <w:rPr>
          <w:rFonts w:ascii="Arial" w:hAnsi="Arial" w:eastAsia="Arial" w:cs="Arial"/>
          <w:sz w:val="24"/>
          <w:szCs w:val="24"/>
        </w:rPr>
      </w:pPr>
      <w:r>
        <w:rPr>
          <w:rFonts w:ascii="Arial" w:hAnsi="Arial" w:eastAsia="Arial" w:cs="Arial"/>
          <w:sz w:val="24"/>
          <w:szCs w:val="24"/>
        </w:rPr>
        <w:t xml:space="preserve">Lic. Raúl Cuevas Landeros </w:t>
      </w:r>
    </w:p>
    <w:p w14:paraId="6FBAAE81">
      <w:pPr>
        <w:tabs>
          <w:tab w:val="left" w:pos="9680"/>
        </w:tabs>
        <w:spacing w:after="0"/>
        <w:ind w:right="16" w:rightChars="0"/>
        <w:jc w:val="center"/>
        <w:rPr>
          <w:rFonts w:ascii="Arial" w:hAnsi="Arial" w:eastAsia="Arial" w:cs="Arial"/>
          <w:b/>
        </w:rPr>
      </w:pPr>
      <w:r>
        <w:rPr>
          <w:rFonts w:ascii="Arial" w:hAnsi="Arial" w:eastAsia="Arial" w:cs="Arial"/>
          <w:sz w:val="24"/>
          <w:szCs w:val="24"/>
        </w:rPr>
        <w:t xml:space="preserve">Director de Recursos Materiales </w:t>
      </w:r>
    </w:p>
    <w:p w14:paraId="41894C0E">
      <w:pPr>
        <w:spacing w:after="0" w:line="240" w:lineRule="auto"/>
        <w:ind w:right="622"/>
        <w:jc w:val="center"/>
        <w:rPr>
          <w:rFonts w:ascii="Arial" w:hAnsi="Arial" w:eastAsia="Arial" w:cs="Arial"/>
          <w:b/>
        </w:rPr>
      </w:pPr>
    </w:p>
    <w:p w14:paraId="5E105BC0">
      <w:pPr>
        <w:spacing w:after="0" w:line="240" w:lineRule="auto"/>
        <w:ind w:right="622"/>
        <w:jc w:val="center"/>
        <w:rPr>
          <w:rFonts w:ascii="Arial" w:hAnsi="Arial" w:eastAsia="Arial" w:cs="Arial"/>
          <w:b/>
        </w:rPr>
      </w:pPr>
    </w:p>
    <w:p w14:paraId="0510817E">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both"/>
        <w:rPr>
          <w:rFonts w:ascii="Arial" w:hAnsi="Arial" w:eastAsia="Arial" w:cs="Arial"/>
          <w:color w:val="000000"/>
        </w:rPr>
      </w:pPr>
    </w:p>
    <w:p w14:paraId="2B871FB4">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both"/>
        <w:rPr>
          <w:rFonts w:ascii="Arial" w:hAnsi="Arial" w:eastAsia="Arial" w:cs="Arial"/>
          <w:color w:val="000000"/>
        </w:rPr>
      </w:pPr>
    </w:p>
    <w:p w14:paraId="39A2593E">
      <w:pPr>
        <w:keepNext w:val="0"/>
        <w:keepLines w:val="0"/>
        <w:pageBreakBefore w:val="0"/>
        <w:widowControl/>
        <w:kinsoku/>
        <w:wordWrap/>
        <w:overflowPunct/>
        <w:topLinePunct w:val="0"/>
        <w:autoSpaceDE/>
        <w:autoSpaceDN/>
        <w:bidi w:val="0"/>
        <w:adjustRightInd/>
        <w:snapToGrid/>
        <w:spacing w:after="0" w:line="240" w:lineRule="auto"/>
        <w:ind w:right="622"/>
        <w:jc w:val="center"/>
        <w:textAlignment w:val="auto"/>
        <w:rPr>
          <w:rFonts w:ascii="Arial" w:hAnsi="Arial" w:eastAsia="Arial" w:cs="Arial"/>
          <w:b/>
        </w:rPr>
      </w:pPr>
    </w:p>
    <w:p w14:paraId="1399A385">
      <w:pPr>
        <w:keepNext w:val="0"/>
        <w:keepLines w:val="0"/>
        <w:pageBreakBefore w:val="0"/>
        <w:widowControl/>
        <w:kinsoku/>
        <w:wordWrap/>
        <w:overflowPunct/>
        <w:topLinePunct w:val="0"/>
        <w:autoSpaceDE/>
        <w:autoSpaceDN/>
        <w:bidi w:val="0"/>
        <w:adjustRightInd/>
        <w:snapToGrid/>
        <w:spacing w:after="0" w:line="240" w:lineRule="auto"/>
        <w:ind w:right="622"/>
        <w:jc w:val="center"/>
        <w:textAlignment w:val="auto"/>
        <w:rPr>
          <w:rFonts w:ascii="Arial" w:hAnsi="Arial" w:eastAsia="Arial" w:cs="Arial"/>
          <w:b/>
        </w:rPr>
      </w:pPr>
      <w:r>
        <w:rPr>
          <w:rFonts w:ascii="Arial" w:hAnsi="Arial" w:eastAsia="Arial" w:cs="Arial"/>
          <w:b/>
        </w:rPr>
        <w:t>ESPECIFICACIONES</w:t>
      </w:r>
    </w:p>
    <w:p w14:paraId="0822E708">
      <w:pPr>
        <w:keepNext w:val="0"/>
        <w:keepLines w:val="0"/>
        <w:pageBreakBefore w:val="0"/>
        <w:widowControl/>
        <w:kinsoku/>
        <w:wordWrap/>
        <w:overflowPunct/>
        <w:topLinePunct w:val="0"/>
        <w:autoSpaceDE/>
        <w:autoSpaceDN/>
        <w:bidi w:val="0"/>
        <w:adjustRightInd/>
        <w:snapToGrid/>
        <w:spacing w:after="0" w:line="240" w:lineRule="auto"/>
        <w:ind w:right="622"/>
        <w:jc w:val="center"/>
        <w:textAlignment w:val="auto"/>
        <w:rPr>
          <w:rFonts w:hint="default" w:ascii="Arial" w:hAnsi="Arial" w:eastAsia="Arial" w:cs="Arial"/>
          <w:b/>
          <w:lang w:val="es-MX"/>
        </w:rPr>
      </w:pPr>
      <w:bookmarkStart w:id="3" w:name="_Hlk152063566"/>
      <w:r>
        <w:rPr>
          <w:rFonts w:ascii="Arial" w:hAnsi="Arial" w:eastAsia="Arial" w:cs="Arial"/>
          <w:b/>
          <w:bCs/>
          <w:lang w:val="es-MX"/>
        </w:rPr>
        <w:t>OM-52/2024</w:t>
      </w:r>
    </w:p>
    <w:p w14:paraId="3E05DCD9">
      <w:pPr>
        <w:keepNext w:val="0"/>
        <w:keepLines w:val="0"/>
        <w:pageBreakBefore w:val="0"/>
        <w:widowControl/>
        <w:kinsoku/>
        <w:wordWrap/>
        <w:overflowPunct/>
        <w:topLinePunct w:val="0"/>
        <w:autoSpaceDE/>
        <w:autoSpaceDN/>
        <w:bidi w:val="0"/>
        <w:adjustRightInd/>
        <w:snapToGrid/>
        <w:spacing w:after="0" w:line="240" w:lineRule="auto"/>
        <w:ind w:right="622"/>
        <w:jc w:val="center"/>
        <w:textAlignment w:val="auto"/>
        <w:rPr>
          <w:rFonts w:ascii="Arial" w:hAnsi="Arial" w:eastAsia="Arial" w:cs="Arial"/>
          <w:b/>
        </w:rPr>
      </w:pPr>
      <w:r>
        <w:rPr>
          <w:rFonts w:ascii="Arial" w:hAnsi="Arial" w:eastAsia="Arial" w:cs="Arial"/>
          <w:b/>
        </w:rPr>
        <w:t xml:space="preserve">“ADQUISICIÓN </w:t>
      </w:r>
      <w:r>
        <w:rPr>
          <w:rFonts w:ascii="Arial" w:hAnsi="Arial" w:eastAsia="Arial" w:cs="Arial"/>
          <w:b/>
          <w:lang w:val="es-MX"/>
        </w:rPr>
        <w:t>DEL SERVICIO DE ACTUALIZACIÓN DE RIESGOS GEOLÓGICOS E HIDROMETEROLOGICOS PARA EL GOBIERNO MUNICIPAL DE TLAJOMULCO DE ZÚÑIGA, JALISCO</w:t>
      </w:r>
      <w:r>
        <w:rPr>
          <w:rFonts w:ascii="Arial" w:hAnsi="Arial" w:eastAsia="Arial" w:cs="Arial"/>
          <w:b/>
        </w:rPr>
        <w:t>”</w:t>
      </w:r>
    </w:p>
    <w:bookmarkEnd w:id="3"/>
    <w:p w14:paraId="3C34DA80">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ascii="Arial" w:hAnsi="Arial" w:eastAsia="Times New Roman" w:cs="Arial"/>
          <w:sz w:val="24"/>
          <w:szCs w:val="24"/>
          <w:lang w:eastAsia="es-ES"/>
        </w:rPr>
      </w:pPr>
    </w:p>
    <w:p w14:paraId="4BB9167C">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Arial" w:hAnsi="Arial" w:eastAsia="Times New Roman"/>
          <w:sz w:val="24"/>
          <w:szCs w:val="24"/>
          <w:lang w:val="es-MX" w:eastAsia="es-ES"/>
        </w:rPr>
      </w:pPr>
      <w:r>
        <w:rPr>
          <w:rFonts w:ascii="Arial" w:hAnsi="Arial" w:eastAsia="Times New Roman" w:cs="Arial"/>
          <w:sz w:val="24"/>
          <w:szCs w:val="24"/>
          <w:lang w:eastAsia="es-ES"/>
        </w:rPr>
        <w:t xml:space="preserve">El Municipio de Tlajomulco de Zúñiga, Jalisco tiene el requerimiento de </w:t>
      </w:r>
      <w:r>
        <w:rPr>
          <w:rFonts w:hint="default" w:ascii="Arial" w:hAnsi="Arial" w:eastAsia="Times New Roman" w:cs="Arial"/>
          <w:sz w:val="24"/>
          <w:szCs w:val="24"/>
          <w:lang w:val="es-MX" w:eastAsia="es-ES"/>
        </w:rPr>
        <w:t xml:space="preserve">obtener el </w:t>
      </w:r>
      <w:r>
        <w:rPr>
          <w:rFonts w:hint="default" w:ascii="Arial" w:hAnsi="Arial" w:eastAsia="Times New Roman"/>
          <w:sz w:val="24"/>
          <w:szCs w:val="24"/>
          <w:lang w:eastAsia="es-ES"/>
        </w:rPr>
        <w:t>servicio de Actualización del Atlas de Riesgos Geológicos e Hidrometorologicos</w:t>
      </w:r>
      <w:r>
        <w:rPr>
          <w:rFonts w:hint="default" w:ascii="Arial" w:hAnsi="Arial" w:eastAsia="Times New Roman"/>
          <w:sz w:val="24"/>
          <w:szCs w:val="24"/>
          <w:lang w:val="es-MX" w:eastAsia="es-ES"/>
        </w:rPr>
        <w:t xml:space="preserve">, </w:t>
      </w:r>
      <w:r>
        <w:rPr>
          <w:rFonts w:hint="default" w:ascii="Arial" w:hAnsi="Arial" w:eastAsia="Times New Roman"/>
          <w:sz w:val="24"/>
          <w:szCs w:val="24"/>
          <w:lang w:eastAsia="es-ES"/>
        </w:rPr>
        <w:t>Caracterización física de las subcuencas del Municipio de Tlajomulco; análisis geológico y geológico-estructural del municipio, análisis geomorfológico y morfométrico de la zona, estudio hidrológico y cálculo de periodo de retorno, determinación de áreas susceptibles a movimientos de tierras, hundimientos y actividad sísmica</w:t>
      </w:r>
      <w:r>
        <w:rPr>
          <w:rFonts w:hint="default" w:ascii="Arial" w:hAnsi="Arial" w:eastAsia="Times New Roman"/>
          <w:sz w:val="24"/>
          <w:szCs w:val="24"/>
          <w:lang w:val="es-MX" w:eastAsia="es-ES"/>
        </w:rPr>
        <w:t>.</w:t>
      </w:r>
    </w:p>
    <w:p w14:paraId="42DED586">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7DD9819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Especificaciones: </w:t>
      </w:r>
    </w:p>
    <w:p w14:paraId="439B5760">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val="es-MX" w:eastAsia="es-ES"/>
        </w:rPr>
        <w:t>1</w:t>
      </w:r>
      <w:r>
        <w:rPr>
          <w:rFonts w:hint="default" w:ascii="Arial" w:hAnsi="Arial" w:eastAsia="Times New Roman"/>
          <w:sz w:val="24"/>
          <w:szCs w:val="24"/>
          <w:lang w:eastAsia="es-ES"/>
        </w:rPr>
        <w:t xml:space="preserve">)Caracterización física de las subcuencas del </w:t>
      </w:r>
      <w:r>
        <w:rPr>
          <w:rFonts w:hint="default" w:ascii="Arial" w:hAnsi="Arial" w:eastAsia="Times New Roman"/>
          <w:sz w:val="24"/>
          <w:szCs w:val="24"/>
          <w:lang w:val="es-MX" w:eastAsia="es-ES"/>
        </w:rPr>
        <w:t>M</w:t>
      </w:r>
      <w:r>
        <w:rPr>
          <w:rFonts w:hint="default" w:ascii="Arial" w:hAnsi="Arial" w:eastAsia="Times New Roman"/>
          <w:sz w:val="24"/>
          <w:szCs w:val="24"/>
          <w:lang w:eastAsia="es-ES"/>
        </w:rPr>
        <w:t>unicipio de Tlajomulco de Zúñiga</w:t>
      </w:r>
    </w:p>
    <w:p w14:paraId="58B64CD4">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val="es-MX" w:eastAsia="es-ES"/>
        </w:rPr>
        <w:t>a</w:t>
      </w:r>
      <w:r>
        <w:rPr>
          <w:rFonts w:hint="default" w:ascii="Arial" w:hAnsi="Arial" w:eastAsia="Times New Roman"/>
          <w:sz w:val="24"/>
          <w:szCs w:val="24"/>
          <w:lang w:eastAsia="es-ES"/>
        </w:rPr>
        <w:t xml:space="preserve">)Topografía: </w:t>
      </w:r>
    </w:p>
    <w:p w14:paraId="4FB54EA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Análisis topográfico con curvas de nivel de 2 metros (depende de la cobertura que tenga el municipio, complementándose con los datos vectoriales del INEGI). </w:t>
      </w:r>
    </w:p>
    <w:p w14:paraId="11DF710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Se utilizarán para ello fotografías aéreas escala 1:20,000 y 1:37,500 del INEGI. (Se podrá complementar con vuelos especiales que se tengan en la Dirección de Catastro del municipio o del Estado, o empresas particulares como Cartodata). </w:t>
      </w:r>
    </w:p>
    <w:p w14:paraId="05102980">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Se utilizarán imágenes satelitales disponibles. </w:t>
      </w:r>
    </w:p>
    <w:p w14:paraId="4EEB025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Este producto se trabajará en modelos vectoriales para su tratamiento en Sistemas de Información Geográfica (QGIS, ARCGIS, IDRISI y ESRI,).</w:t>
      </w:r>
    </w:p>
    <w:p w14:paraId="47F4E52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Elaboración de modelos digitales de terreno con por lo menos dos métodos de análisis. </w:t>
      </w:r>
    </w:p>
    <w:p w14:paraId="1D4F6E94">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31B05DC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b) Análisis Geológico y Geológico-estructural del municipio. </w:t>
      </w:r>
    </w:p>
    <w:p w14:paraId="32D99AD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1F640D8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2) Geología</w:t>
      </w:r>
    </w:p>
    <w:p w14:paraId="7CF68CA1">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La cartografía geológica se debe continuar y completar con el área municipal a través de la interpretación de fotografías aéreas de INEGI a escala aproximada 1:20,000 en color, de fecha 1970, el vuelo escala 1:25,000 de 2005 de Cartodata e imágenes satelitales recientes. </w:t>
      </w:r>
    </w:p>
    <w:p w14:paraId="45E1956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La fotointerpretación se debe realizar utilizando el GIS. La interpretación de las unidades litológicas de ser con base en los contrates en los tonos de gris y de vegetación; así como en la textura fotográfica y la morfología de cada unidad. La interpretación debe basarse en la experiencia en la interpretación de litología a partir de fotografías aéreas, en los mapas pre-existentes y en la posterior verificación de campo.</w:t>
      </w:r>
    </w:p>
    <w:p w14:paraId="75D3BD7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Durante la verificación de campo se debe definir la secuencia estratigráfica, las características físicas megascópicas de las unidades litológicas y es importante corroborar los criterios de interpretación, para, en su caso, reinterpretar la litología del área de estudio o hacer las modificaciones que sean necesarias. Las características físicas que se describan deben ser del tipo de roca, textura, estructura, contactos. Se requiere se midan las actitudes. de planos de estratificación y/o foliación que sean representativos de las estructuras en el territorio municipal. </w:t>
      </w:r>
    </w:p>
    <w:p w14:paraId="7F052CB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Una vez que se tenga definida la estratigrafía y la litología proceder a realizar la actualización geológica en programa SIG QGIS. Para la rectificación considerar los puntos que se tomaron con el GPS; además de puntos auxiliares tomados de la topografía resultante </w:t>
      </w:r>
    </w:p>
    <w:p w14:paraId="3536E1F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Realizar análisis de la estratigrafía de la Planicie volcánico-sedimentaria donde se asientan gran parte del área urbana del municipio de Tlajomulco de Zúñiga, para ello apoyarse en estudios de mecánica de suelos y geotécnicos realizados en la región por diversas empresas. </w:t>
      </w:r>
    </w:p>
    <w:p w14:paraId="403F64E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3908B09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3) Geología estructural </w:t>
      </w:r>
    </w:p>
    <w:p w14:paraId="68B9167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Realizar descripción estructural del municipio, así como el seguimiento de los sistemas de fallamiento en el territorio de Tlajomulco de Zúñiga; dando inicio a partir de la interpretación de las fotografías aéreas e imágenes satelitales utilizadas para la descripción de la litología. Sin embargo, la interpretación de los rasgos estructurales se debe basar en la delimitación de lineamientos, sean rectos o curvos. Se haciendo énfasis en aquellos que estén en sitios que actualmente están en o cerca zonas urbanas. A lo que se refiere a la definición de los rasgos estructurales ubicar bloques de mayor tamaño que pudieran haber derivado de un proceso de caída. </w:t>
      </w:r>
    </w:p>
    <w:p w14:paraId="0EF875F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Durante la verificación de campo se definir el tipo de estructura a la que corresponden los lineamientos estructurales, sea fractura, falla o un rasgo erosivo o litológico. También cartografiar las fallas y fracturas que por su tamaño y ubicación respecto a la traza urbana e infraestructura pudieran ser potencialmente peligrosas y cuya cartografía sea necesaria realizar. En donde sea posible se definir el desplazamiento que han tenido las fallas utilizando los marcadores que se encuentren presenten, como pudieran ser estratos desplazados o bien, se documentarán los datos de las estrías de las estructuras potencialmente peligrosas. En el análisis de los datos estructurales, la cartografía de las estructuras se relacionará con los datos que se obtengan de la sismicidad histórica. La integración de todos estos datos permitirá definir las zonas que son potencialmente vulnerables a sufrir algún daño por la presencia de fallas activas en el territorio municipal. </w:t>
      </w:r>
    </w:p>
    <w:p w14:paraId="205E56D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Utilizar las mismas fotografías aéreas de la litología y el procedimiento de edición de las estructuras; además de su incorporación, con base de datos, en SIG. Los datos estructurales presentarse en diagramas de rosas, con intervalos de 10º para visualizar la o las tendencias de las estructuras en el área de estudio. La representación del echado de las fallas y el rake de las estrías se realizará con diagramas verticales y sobre el plano de falla, respectivamente. Además, elaborar estereogramas, hemisferio inferior, igual área para mostrar desde un punto de vista diferente, pero que ayude al análisis de los datos de falla. </w:t>
      </w:r>
    </w:p>
    <w:p w14:paraId="7070B96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59104F04">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c) Análisis Geomorfológico y Morfométrico de la zona</w:t>
      </w:r>
    </w:p>
    <w:p w14:paraId="21046E96">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5BD6FDA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4) Análisis de las áreas sedimentarias del municipio: </w:t>
      </w:r>
    </w:p>
    <w:p w14:paraId="048FCA6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Identificar  sedimentos, su origen, posibles fuentes. Identificar estructuras como gradación inversa, simétrica u otro tipo de estructuras que puedan indicar algún periodo de abastecimiento mayor de sedimentos o algún tipo de cambio. </w:t>
      </w:r>
    </w:p>
    <w:p w14:paraId="5CE375C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Presentar  resultados en gráficas  </w:t>
      </w:r>
    </w:p>
    <w:p w14:paraId="3B80D4D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5) Análisis morfométrico y delimitación de cuencas y subcuencas y el estudio hidráulico de cada una de ellas: </w:t>
      </w:r>
    </w:p>
    <w:p w14:paraId="67AEFD9A">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Delimitar  las subcuencas principales de los arroyos que drenan al municipio de Tlajomulco de Zúñiga </w:t>
      </w:r>
    </w:p>
    <w:p w14:paraId="783D018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Determinar la influencia meteorológica en cada subcuenca. </w:t>
      </w:r>
    </w:p>
    <w:p w14:paraId="4F13136A">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Realizar cálculos hidrológicos para determinar riesgos por inundaciones a partir de los periodos de retorno de precipitaciones máximas a 5, 25, 50, 100 y 500 años.</w:t>
      </w:r>
    </w:p>
    <w:p w14:paraId="44C2B007">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Estimar escorrentía superficial a través de los datos de precipitación de la zona. </w:t>
      </w:r>
    </w:p>
    <w:p w14:paraId="4A4767F3">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4FE0C2E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6) Reconstrucción de la red fluvial original </w:t>
      </w:r>
    </w:p>
    <w:p w14:paraId="5C9CD3D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Con base a la topografía a detalle realizar análisis fotogramétrico de tomas aéreas antiguas, para reconstruir la red fluvial existente antes del proceso progresivo de urbanización en Tlajomulco de Zúñiga, utilizando criterios geomorfológicos y morfométricos.</w:t>
      </w:r>
    </w:p>
    <w:p w14:paraId="26374D6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Construcción de mapa denominado Memoria del Relieve (Modificación de la red fluvial), indicando las áreas en donde se efectuaron modificaciones, ya sea por edificación de los recientes fraccionamientos, trazo de calles y avenidas, así como de la instalación y construcción de equipamiento e infraestructura. </w:t>
      </w:r>
    </w:p>
    <w:p w14:paraId="7478B4F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0DFB95DA">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7) Análisis topográfico y morfométrico en las cuencas y subcuencas de Tlajomulco de Zúñiga. </w:t>
      </w:r>
    </w:p>
    <w:p w14:paraId="27ABC1F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Con el modelo de elevación del terreno realizar estudio morfométrico de la zona de estudio en donde se calcularán las siguientes variables, utilizando para ello SIG y programas de análisis del terreno, en donde se obtendrán. </w:t>
      </w:r>
    </w:p>
    <w:p w14:paraId="177BD98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Cálculo de las pendientes generales de la zona. </w:t>
      </w:r>
    </w:p>
    <w:p w14:paraId="37DF128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Reclasificación de las pendientes. </w:t>
      </w:r>
    </w:p>
    <w:p w14:paraId="67816E33">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Mapa de la dirección de las pendientes. </w:t>
      </w:r>
    </w:p>
    <w:p w14:paraId="2718964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Mapa de la densidad de la red de fluvial. </w:t>
      </w:r>
    </w:p>
    <w:p w14:paraId="6695E00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Mapa de la jerarquización de la red de fluvial. </w:t>
      </w:r>
    </w:p>
    <w:p w14:paraId="7A71775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Mapa de la profundidad de la red de fluvial </w:t>
      </w:r>
    </w:p>
    <w:p w14:paraId="06A8063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080FDAA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 Estudio Hidrológico y cálculo de períodos de retorno </w:t>
      </w:r>
    </w:p>
    <w:p w14:paraId="3EFF4E4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8) Determinación de las zonas de inundación de los causes principales y áreas topográficamente bajas. </w:t>
      </w:r>
    </w:p>
    <w:p w14:paraId="5E1952E3">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Calcular niveles máximos de crecientes en cada subcuenca a partir de los periodos de retorno determinados para la zona y se compararán con los ya existentes en el municipio. </w:t>
      </w:r>
    </w:p>
    <w:p w14:paraId="7154593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Realizar pronóstico de lluvias que pueden producir crecientes.</w:t>
      </w:r>
    </w:p>
    <w:p w14:paraId="6A641DA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Determinar áreas de inundación en cada uno de los cauces superiores a un cuarto orden. </w:t>
      </w:r>
    </w:p>
    <w:p w14:paraId="4C1E63D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e) Determinar áreas susceptibles a movimientos de tierras y hundimientos </w:t>
      </w:r>
    </w:p>
    <w:p w14:paraId="3D21621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9) Remoción en masa y Hundimientos </w:t>
      </w:r>
    </w:p>
    <w:p w14:paraId="549D2D2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Con la cartografía y los datos geológicos, geomorfológicos y los reportes de mecánica de suelos, realizar el análisis para identificar las áreas susceptibles a presentar hundimientos del subsuelo y áreas susceptibles a procesos de remoción en masa, estos últimos se caracterizarán por tipo de proceso. </w:t>
      </w:r>
    </w:p>
    <w:p w14:paraId="6C37E20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1182314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f) Actividad Sísmica </w:t>
      </w:r>
    </w:p>
    <w:p w14:paraId="46C637B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Descripción de acciones: </w:t>
      </w:r>
    </w:p>
    <w:p w14:paraId="141F2F3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37798BF3">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10) Recopilación Sismicidad Histórica </w:t>
      </w:r>
    </w:p>
    <w:p w14:paraId="20119F97">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Recopilación de la información macro sísmica e instrumental relacionada con peligro sísmico que exista para la región, así como el Análisis sismicidad instrumental siglo XX, con base en la revisión de Catálogos Sísmicos, interpretación. </w:t>
      </w:r>
    </w:p>
    <w:p w14:paraId="484CCD2B">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714F126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11) Mapas de zonificación del peligro a hundimientos, procesos de remoción en masa e inundaciones en el territorio municipal </w:t>
      </w:r>
    </w:p>
    <w:p w14:paraId="3B10F6B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12) Mapas de vulnerabilidad social (construidos con indicadores de población, vivienda, acceso a servicios básicos, marginación, economía y equipamiento e infraestructura). </w:t>
      </w:r>
    </w:p>
    <w:p w14:paraId="3EE263E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07FA9AD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val="es-MX" w:eastAsia="es-ES"/>
        </w:rPr>
        <w:t>g</w:t>
      </w:r>
      <w:bookmarkStart w:id="5" w:name="_GoBack"/>
      <w:bookmarkEnd w:id="5"/>
      <w:r>
        <w:rPr>
          <w:rFonts w:hint="default" w:ascii="Arial" w:hAnsi="Arial" w:eastAsia="Times New Roman"/>
          <w:sz w:val="24"/>
          <w:szCs w:val="24"/>
          <w:lang w:eastAsia="es-ES"/>
        </w:rPr>
        <w:t xml:space="preserve">) Determinación y cuantificación de los riesgos de origen hidrometereológico, geológico en la zona de Tlajomulco de Zúñiga </w:t>
      </w:r>
    </w:p>
    <w:p w14:paraId="396B799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6FCF4E67">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13) Conclusiones.</w:t>
      </w:r>
    </w:p>
    <w:p w14:paraId="6386B22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 </w:t>
      </w:r>
    </w:p>
    <w:p w14:paraId="56279EB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14) Recomendaciones para la mitigación de los riesgos identificados en el territorio municipal y gestión del riesgo a desastres. </w:t>
      </w:r>
    </w:p>
    <w:p w14:paraId="426CF536">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4C33067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PRODUCTOS A ENTREGAR: </w:t>
      </w:r>
    </w:p>
    <w:p w14:paraId="0D75B267">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a) Mapa topográfico y modelo digital del terreno con la integración de los nuevos datos del vuelo fotogramétrico más reciente que se haya realizado y proporcionado en el municipio. </w:t>
      </w:r>
    </w:p>
    <w:p w14:paraId="46CAEC2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b) Mapa de la red fluvial actual y reconstruida del municipio de Tlajomulco de Zúñiga. </w:t>
      </w:r>
    </w:p>
    <w:p w14:paraId="45F0BBF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c) Mapa de pendientes y reclasificadas. </w:t>
      </w:r>
    </w:p>
    <w:p w14:paraId="2391123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d) Mapas de climatología. </w:t>
      </w:r>
    </w:p>
    <w:p w14:paraId="4691DAB0">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e) Mapa de edafología. </w:t>
      </w:r>
    </w:p>
    <w:p w14:paraId="6524B5D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f) Mapa de uso actual del suelo </w:t>
      </w:r>
    </w:p>
    <w:p w14:paraId="15157B38">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g) Mapa litológico. </w:t>
      </w:r>
    </w:p>
    <w:p w14:paraId="56F82424">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h) Mapa geológico-estructural. </w:t>
      </w:r>
    </w:p>
    <w:p w14:paraId="3D26A44A">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i) Mapa geomorfológico. </w:t>
      </w:r>
    </w:p>
    <w:p w14:paraId="4596FE7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j) Mapa de sismicidad histórica </w:t>
      </w:r>
    </w:p>
    <w:p w14:paraId="7FCEC82D">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k) Mapa de desarrollo del crecimiento histórico urbano del municipio. </w:t>
      </w:r>
    </w:p>
    <w:p w14:paraId="72EC2601">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l) Mapa de equipamiento e infraestructura municipal. </w:t>
      </w:r>
    </w:p>
    <w:p w14:paraId="64EFA56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m) Mapas de peligros por procesos de remoción en masa. </w:t>
      </w:r>
    </w:p>
    <w:p w14:paraId="51BCDACA">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n) Mapa de peligros por hundimientos. </w:t>
      </w:r>
    </w:p>
    <w:p w14:paraId="0946F0D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o) Mapa de subcuencas. </w:t>
      </w:r>
    </w:p>
    <w:p w14:paraId="6AFEBC93">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p) Cálculo de los periodos de retorno de precipitaciones intensas. </w:t>
      </w:r>
    </w:p>
    <w:p w14:paraId="3A9AF6F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q) Mapas morfométricos de apoyo al estudio hidrológico. </w:t>
      </w:r>
    </w:p>
    <w:p w14:paraId="10D9251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r) Estudio hidrológico de las subcuencas y delimitación generalizada de zonas de inundación de zonas bajas. </w:t>
      </w:r>
    </w:p>
    <w:p w14:paraId="39779B1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s) Mapa de peligros por inundaciones en márgenes de arroyos </w:t>
      </w:r>
    </w:p>
    <w:p w14:paraId="4ED420E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t) Mapa de vulnerabilidad social. </w:t>
      </w:r>
    </w:p>
    <w:p w14:paraId="2BDFA875">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u) Mapa de vulnerabilidad de vivienda a los peligros identificados. </w:t>
      </w:r>
    </w:p>
    <w:p w14:paraId="4EF9B48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v) Mapa de vulnerabilidad de equipamiento e infraestructura urbana y crítica. </w:t>
      </w:r>
    </w:p>
    <w:p w14:paraId="7D589B9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w) Mapa de riesgo por fenómenos hidrometereológico. </w:t>
      </w:r>
    </w:p>
    <w:p w14:paraId="74E4657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x) Mapa de riesgo por fenómenos geológicos. </w:t>
      </w:r>
    </w:p>
    <w:p w14:paraId="543E1CA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y) Memoria </w:t>
      </w:r>
    </w:p>
    <w:p w14:paraId="3F3899C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z) Conclusiones. </w:t>
      </w:r>
    </w:p>
    <w:p w14:paraId="5F0AB27F">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 xml:space="preserve">aa) Propuestas y Recomendaciones. </w:t>
      </w:r>
    </w:p>
    <w:p w14:paraId="4BFA1F6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p>
    <w:p w14:paraId="65DCCD77">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Observaciones:</w:t>
      </w:r>
    </w:p>
    <w:p w14:paraId="28753067">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default" w:ascii="Arial" w:hAnsi="Arial" w:eastAsia="Times New Roman"/>
          <w:sz w:val="24"/>
          <w:szCs w:val="24"/>
          <w:lang w:eastAsia="es-ES"/>
        </w:rPr>
      </w:pPr>
      <w:r>
        <w:rPr>
          <w:rFonts w:hint="default" w:ascii="Arial" w:hAnsi="Arial" w:eastAsia="Times New Roman"/>
          <w:sz w:val="24"/>
          <w:szCs w:val="24"/>
          <w:lang w:eastAsia="es-ES"/>
        </w:rPr>
        <w:t>La entrega de resultados finales de cada una de estas 14 etapas y/o productos deberán integrarse en un proyecto de sistemas de información geográfica en cual pueda ser trabajado en ambientes de QGIS (software libre) o ARCGIS (licencia con la que debe contar el Ayuntamiento de Tlajomulco de Zúñiga), ambas son utilizados por protección civil y las oficinas de planeación del municipio.</w:t>
      </w:r>
    </w:p>
    <w:p w14:paraId="026449A9">
      <w:pPr>
        <w:spacing w:after="160" w:line="259" w:lineRule="auto"/>
        <w:ind w:right="616"/>
        <w:contextualSpacing/>
        <w:jc w:val="both"/>
        <w:rPr>
          <w:rFonts w:ascii="Arial" w:hAnsi="Arial" w:cs="Arial"/>
          <w:lang w:eastAsia="en-US"/>
        </w:rPr>
      </w:pPr>
    </w:p>
    <w:p w14:paraId="24A65E07">
      <w:pPr>
        <w:spacing w:after="160" w:line="259" w:lineRule="auto"/>
        <w:ind w:right="616"/>
        <w:contextualSpacing/>
        <w:jc w:val="both"/>
        <w:rPr>
          <w:rFonts w:ascii="Arial" w:hAnsi="Arial" w:cs="Arial"/>
          <w:lang w:eastAsia="en-US"/>
        </w:rPr>
      </w:pPr>
    </w:p>
    <w:p w14:paraId="2EA9FB44">
      <w:pPr>
        <w:spacing w:after="160" w:line="259" w:lineRule="auto"/>
        <w:ind w:right="616"/>
        <w:contextualSpacing/>
        <w:jc w:val="both"/>
        <w:rPr>
          <w:rFonts w:ascii="Arial" w:hAnsi="Arial" w:cs="Arial"/>
          <w:lang w:eastAsia="en-US"/>
        </w:rPr>
      </w:pPr>
    </w:p>
    <w:p w14:paraId="3A88A063">
      <w:pPr>
        <w:spacing w:after="160" w:line="259" w:lineRule="auto"/>
        <w:ind w:right="616"/>
        <w:contextualSpacing/>
        <w:jc w:val="both"/>
        <w:rPr>
          <w:rFonts w:ascii="Arial" w:hAnsi="Arial" w:cs="Arial"/>
          <w:lang w:eastAsia="en-US"/>
        </w:rPr>
      </w:pPr>
    </w:p>
    <w:p w14:paraId="4A9D1278">
      <w:pPr>
        <w:spacing w:after="160" w:line="259" w:lineRule="auto"/>
        <w:ind w:right="616"/>
        <w:contextualSpacing/>
        <w:jc w:val="both"/>
        <w:rPr>
          <w:rFonts w:ascii="Arial" w:hAnsi="Arial" w:cs="Arial"/>
          <w:lang w:eastAsia="en-US"/>
        </w:rPr>
      </w:pPr>
    </w:p>
    <w:p w14:paraId="3C5060A6">
      <w:pPr>
        <w:spacing w:after="160" w:line="259" w:lineRule="auto"/>
        <w:ind w:right="616"/>
        <w:contextualSpacing/>
        <w:jc w:val="both"/>
        <w:rPr>
          <w:rFonts w:ascii="Arial" w:hAnsi="Arial" w:cs="Arial"/>
          <w:lang w:eastAsia="en-US"/>
        </w:rPr>
      </w:pPr>
    </w:p>
    <w:p w14:paraId="2769A3E0">
      <w:pPr>
        <w:spacing w:after="160" w:line="259" w:lineRule="auto"/>
        <w:ind w:right="616"/>
        <w:contextualSpacing/>
        <w:jc w:val="both"/>
        <w:rPr>
          <w:rFonts w:ascii="Arial" w:hAnsi="Arial" w:cs="Arial"/>
          <w:lang w:eastAsia="en-US"/>
        </w:rPr>
      </w:pPr>
    </w:p>
    <w:p w14:paraId="562B6641">
      <w:pPr>
        <w:spacing w:after="160" w:line="259" w:lineRule="auto"/>
        <w:ind w:right="616"/>
        <w:contextualSpacing/>
        <w:jc w:val="both"/>
        <w:rPr>
          <w:rFonts w:ascii="Arial" w:hAnsi="Arial" w:cs="Arial"/>
          <w:lang w:eastAsia="en-US"/>
        </w:rPr>
      </w:pPr>
    </w:p>
    <w:p w14:paraId="769ECB44">
      <w:pPr>
        <w:spacing w:after="160" w:line="259" w:lineRule="auto"/>
        <w:ind w:right="616"/>
        <w:contextualSpacing/>
        <w:jc w:val="both"/>
        <w:rPr>
          <w:rFonts w:ascii="Arial" w:hAnsi="Arial" w:cs="Arial"/>
          <w:lang w:eastAsia="en-US"/>
        </w:rPr>
      </w:pPr>
    </w:p>
    <w:p w14:paraId="70056788">
      <w:pPr>
        <w:spacing w:after="160" w:line="259" w:lineRule="auto"/>
        <w:ind w:right="616"/>
        <w:contextualSpacing/>
        <w:jc w:val="both"/>
        <w:rPr>
          <w:rFonts w:ascii="Arial" w:hAnsi="Arial" w:cs="Arial"/>
          <w:lang w:eastAsia="en-US"/>
        </w:rPr>
      </w:pPr>
    </w:p>
    <w:p w14:paraId="239E9E76">
      <w:pPr>
        <w:spacing w:after="160" w:line="259" w:lineRule="auto"/>
        <w:ind w:right="616"/>
        <w:contextualSpacing/>
        <w:jc w:val="both"/>
        <w:rPr>
          <w:rFonts w:ascii="Arial" w:hAnsi="Arial" w:cs="Arial"/>
          <w:lang w:eastAsia="en-US"/>
        </w:rPr>
      </w:pPr>
    </w:p>
    <w:p w14:paraId="4F18F914">
      <w:pPr>
        <w:spacing w:after="160" w:line="259" w:lineRule="auto"/>
        <w:ind w:right="616"/>
        <w:contextualSpacing/>
        <w:jc w:val="both"/>
        <w:rPr>
          <w:rFonts w:ascii="Arial" w:hAnsi="Arial" w:cs="Arial"/>
          <w:lang w:eastAsia="en-US"/>
        </w:rPr>
      </w:pPr>
    </w:p>
    <w:p w14:paraId="7CBD70CB">
      <w:pPr>
        <w:spacing w:after="0" w:line="240" w:lineRule="auto"/>
        <w:ind w:firstLine="708"/>
        <w:jc w:val="center"/>
        <w:rPr>
          <w:rFonts w:ascii="Arial" w:hAnsi="Arial" w:cs="Arial"/>
          <w:b/>
          <w:sz w:val="32"/>
          <w:szCs w:val="32"/>
        </w:rPr>
      </w:pPr>
      <w:r>
        <w:rPr>
          <w:rFonts w:ascii="Arial" w:hAnsi="Arial" w:cs="Arial"/>
          <w:b/>
          <w:sz w:val="32"/>
          <w:szCs w:val="32"/>
        </w:rPr>
        <w:t>ORDEN DE PAGO</w:t>
      </w:r>
    </w:p>
    <w:p w14:paraId="0A9D0F84">
      <w:pPr>
        <w:spacing w:after="0" w:line="240" w:lineRule="auto"/>
        <w:ind w:firstLine="708"/>
        <w:jc w:val="center"/>
        <w:rPr>
          <w:rFonts w:ascii="Arial" w:hAnsi="Arial" w:cs="Arial"/>
          <w:sz w:val="28"/>
          <w:szCs w:val="28"/>
        </w:rPr>
      </w:pPr>
      <w:r>
        <w:rPr>
          <w:rFonts w:ascii="Arial" w:hAnsi="Arial" w:cs="Arial"/>
          <w:sz w:val="28"/>
          <w:szCs w:val="28"/>
        </w:rPr>
        <w:t>BASES DE LICITACIÓN OM-</w:t>
      </w:r>
      <w:r>
        <w:rPr>
          <w:rFonts w:hint="default" w:ascii="Arial" w:hAnsi="Arial" w:cs="Arial"/>
          <w:sz w:val="28"/>
          <w:szCs w:val="28"/>
          <w:lang w:val="es-MX"/>
        </w:rPr>
        <w:t>52</w:t>
      </w:r>
      <w:r>
        <w:rPr>
          <w:rFonts w:ascii="Arial" w:hAnsi="Arial" w:cs="Arial"/>
          <w:sz w:val="28"/>
          <w:szCs w:val="28"/>
        </w:rPr>
        <w:t>/2024</w:t>
      </w:r>
    </w:p>
    <w:p w14:paraId="4668E07E">
      <w:pPr>
        <w:spacing w:after="0" w:line="240" w:lineRule="auto"/>
        <w:ind w:firstLine="708"/>
        <w:jc w:val="center"/>
        <w:rPr>
          <w:rFonts w:ascii="Arial" w:hAnsi="Arial" w:cs="Arial"/>
          <w:sz w:val="28"/>
          <w:szCs w:val="28"/>
        </w:rPr>
      </w:pPr>
    </w:p>
    <w:tbl>
      <w:tblPr>
        <w:tblStyle w:val="200"/>
        <w:tblW w:w="0" w:type="auto"/>
        <w:tblInd w:w="7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27"/>
        <w:gridCol w:w="4527"/>
      </w:tblGrid>
      <w:tr w14:paraId="77B78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40791BB0">
            <w:pPr>
              <w:spacing w:after="0" w:line="240" w:lineRule="auto"/>
              <w:jc w:val="center"/>
              <w:rPr>
                <w:rFonts w:ascii="Arial" w:hAnsi="Arial" w:cs="Arial"/>
                <w:lang w:eastAsia="en-US"/>
              </w:rPr>
            </w:pPr>
            <w:r>
              <w:rPr>
                <w:rFonts w:ascii="Arial" w:hAnsi="Arial" w:cs="Arial"/>
                <w:lang w:eastAsia="en-US"/>
              </w:rPr>
              <w:drawing>
                <wp:inline distT="0" distB="0" distL="0" distR="0">
                  <wp:extent cx="2322830" cy="725170"/>
                  <wp:effectExtent l="0" t="0" r="1270" b="1778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2322830" cy="725170"/>
                          </a:xfrm>
                          <a:prstGeom prst="rect">
                            <a:avLst/>
                          </a:prstGeom>
                          <a:noFill/>
                        </pic:spPr>
                      </pic:pic>
                    </a:graphicData>
                  </a:graphic>
                </wp:inline>
              </w:drawing>
            </w:r>
          </w:p>
          <w:p w14:paraId="01280795">
            <w:pPr>
              <w:spacing w:after="0" w:line="240" w:lineRule="auto"/>
              <w:rPr>
                <w:rFonts w:ascii="Arial" w:hAnsi="Arial" w:cs="Arial"/>
                <w:lang w:eastAsia="en-US"/>
              </w:rPr>
            </w:pPr>
          </w:p>
        </w:tc>
      </w:tr>
      <w:tr w14:paraId="699BA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57D0BDDF">
            <w:pPr>
              <w:spacing w:after="0" w:line="240" w:lineRule="auto"/>
              <w:jc w:val="center"/>
              <w:rPr>
                <w:rFonts w:ascii="Arial" w:hAnsi="Arial" w:cs="Arial"/>
                <w:b/>
                <w:lang w:eastAsia="en-US"/>
              </w:rPr>
            </w:pPr>
            <w:r>
              <w:rPr>
                <w:rFonts w:ascii="Arial" w:hAnsi="Arial" w:cs="Arial"/>
                <w:b/>
                <w:lang w:eastAsia="en-US"/>
              </w:rPr>
              <w:t>MUNICIPIO DE TLAJOMULCO DE ZÚÑIGA, JALISCO</w:t>
            </w:r>
          </w:p>
          <w:p w14:paraId="7E10E7DA">
            <w:pPr>
              <w:spacing w:after="0" w:line="240" w:lineRule="auto"/>
              <w:jc w:val="center"/>
              <w:rPr>
                <w:rFonts w:ascii="Arial" w:hAnsi="Arial" w:cs="Arial"/>
                <w:lang w:eastAsia="en-US"/>
              </w:rPr>
            </w:pPr>
            <w:r>
              <w:rPr>
                <w:rFonts w:ascii="Arial" w:hAnsi="Arial" w:cs="Arial"/>
                <w:b/>
                <w:lang w:eastAsia="en-US"/>
              </w:rPr>
              <w:t>DIRECCIÓN DE RECURSOS MATERIALES</w:t>
            </w:r>
          </w:p>
        </w:tc>
      </w:tr>
      <w:tr w14:paraId="412EE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125E27F0">
            <w:pPr>
              <w:spacing w:after="0" w:line="240" w:lineRule="auto"/>
              <w:jc w:val="center"/>
              <w:rPr>
                <w:rFonts w:ascii="Arial" w:hAnsi="Arial" w:cs="Arial"/>
                <w:lang w:eastAsia="en-US"/>
              </w:rPr>
            </w:pPr>
            <w:r>
              <w:rPr>
                <w:rFonts w:ascii="Arial" w:hAnsi="Arial" w:cs="Arial"/>
                <w:lang w:eastAsia="en-US"/>
              </w:rPr>
              <w:t>DATOS DE LICITACIÓN</w:t>
            </w:r>
          </w:p>
        </w:tc>
      </w:tr>
      <w:tr w14:paraId="6C83F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9054" w:type="dxa"/>
            <w:gridSpan w:val="2"/>
          </w:tcPr>
          <w:p w14:paraId="3E62B9F0">
            <w:pPr>
              <w:spacing w:after="0" w:line="240" w:lineRule="auto"/>
              <w:jc w:val="both"/>
              <w:rPr>
                <w:rFonts w:ascii="Arial" w:hAnsi="Arial" w:cs="Arial"/>
                <w:sz w:val="20"/>
                <w:szCs w:val="20"/>
                <w:lang w:eastAsia="en-US"/>
              </w:rPr>
            </w:pPr>
            <w:r>
              <w:rPr>
                <w:rFonts w:ascii="Arial" w:hAnsi="Arial" w:cs="Arial"/>
                <w:sz w:val="20"/>
                <w:szCs w:val="20"/>
                <w:lang w:eastAsia="en-US"/>
              </w:rPr>
              <w:t xml:space="preserve">IMPORTE: </w:t>
            </w:r>
            <w:r>
              <w:rPr>
                <w:rFonts w:hint="default" w:ascii="Arial" w:hAnsi="Arial"/>
                <w:sz w:val="20"/>
                <w:szCs w:val="20"/>
                <w:lang w:eastAsia="en-US"/>
              </w:rPr>
              <w:t>$383.00</w:t>
            </w:r>
            <w:r>
              <w:rPr>
                <w:rFonts w:ascii="Arial" w:hAnsi="Arial" w:cs="Arial"/>
                <w:sz w:val="20"/>
                <w:szCs w:val="20"/>
                <w:lang w:eastAsia="en-US"/>
              </w:rPr>
              <w:t xml:space="preserve"> CON LETRA: SON </w:t>
            </w:r>
            <w:r>
              <w:rPr>
                <w:rFonts w:hint="default" w:ascii="Arial" w:hAnsi="Arial" w:cs="Arial"/>
                <w:sz w:val="20"/>
                <w:szCs w:val="20"/>
                <w:lang w:val="es-MX" w:eastAsia="en-US"/>
              </w:rPr>
              <w:t>TRESCIENTOS OCHENTA Y TRES</w:t>
            </w:r>
            <w:r>
              <w:rPr>
                <w:rFonts w:ascii="Arial" w:hAnsi="Arial" w:cs="Arial"/>
                <w:sz w:val="20"/>
                <w:szCs w:val="20"/>
                <w:lang w:eastAsia="en-US"/>
              </w:rPr>
              <w:t xml:space="preserve"> PESOS, 00/100, M. N.</w:t>
            </w:r>
          </w:p>
        </w:tc>
      </w:tr>
      <w:tr w14:paraId="3F2FC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2" w:hRule="atLeast"/>
        </w:trPr>
        <w:tc>
          <w:tcPr>
            <w:tcW w:w="4527" w:type="dxa"/>
          </w:tcPr>
          <w:p w14:paraId="1DC304EB">
            <w:pPr>
              <w:spacing w:after="0" w:line="240" w:lineRule="auto"/>
              <w:jc w:val="both"/>
              <w:rPr>
                <w:rFonts w:ascii="Arial" w:hAnsi="Arial" w:cs="Arial"/>
                <w:lang w:eastAsia="en-US"/>
              </w:rPr>
            </w:pPr>
          </w:p>
        </w:tc>
        <w:tc>
          <w:tcPr>
            <w:tcW w:w="4527" w:type="dxa"/>
          </w:tcPr>
          <w:p w14:paraId="62CBB057">
            <w:pPr>
              <w:spacing w:after="0" w:line="240" w:lineRule="auto"/>
              <w:ind w:right="622"/>
              <w:jc w:val="both"/>
              <w:rPr>
                <w:rFonts w:ascii="Arial" w:hAnsi="Arial" w:eastAsia="Arial" w:cs="Arial"/>
                <w:b/>
              </w:rPr>
            </w:pPr>
            <w:r>
              <w:rPr>
                <w:rFonts w:ascii="Arial" w:hAnsi="Arial" w:eastAsia="Arial" w:cs="Arial"/>
                <w:b/>
                <w:bCs/>
                <w:lang w:val="es-MX"/>
              </w:rPr>
              <w:t>OM-52/2024</w:t>
            </w:r>
            <w:r>
              <w:rPr>
                <w:rFonts w:hint="default" w:ascii="Arial" w:hAnsi="Arial" w:eastAsia="Arial" w:cs="Arial"/>
                <w:b/>
                <w:bCs/>
                <w:lang w:val="es-MX"/>
              </w:rPr>
              <w:t xml:space="preserve"> </w:t>
            </w:r>
            <w:r>
              <w:rPr>
                <w:rFonts w:ascii="Arial" w:hAnsi="Arial" w:eastAsia="Arial" w:cs="Arial"/>
                <w:b/>
              </w:rPr>
              <w:t xml:space="preserve">“ADQUISICIÓN </w:t>
            </w:r>
            <w:r>
              <w:rPr>
                <w:rFonts w:ascii="Arial" w:hAnsi="Arial" w:eastAsia="Arial" w:cs="Arial"/>
                <w:b/>
                <w:lang w:val="es-MX"/>
              </w:rPr>
              <w:t>DEL SERVICIO DE ACTUALIZACIÓN DE RIESGOS GEOLÓGICOS E HIDROMETEROLOGICOS PARA EL GOBIERNO MUNICIPAL DE TLAJOMULCO DE ZÚÑIGA, JALISCO</w:t>
            </w:r>
          </w:p>
          <w:p w14:paraId="267D0015">
            <w:pPr>
              <w:spacing w:after="0" w:line="240" w:lineRule="auto"/>
              <w:jc w:val="both"/>
              <w:rPr>
                <w:rFonts w:ascii="Arial" w:hAnsi="Arial" w:eastAsia="Arial" w:cs="Arial"/>
                <w:b/>
                <w:lang w:eastAsia="en-US"/>
              </w:rPr>
            </w:pPr>
          </w:p>
        </w:tc>
      </w:tr>
      <w:tr w14:paraId="7168A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26C512A2">
            <w:pPr>
              <w:spacing w:after="0" w:line="240" w:lineRule="auto"/>
              <w:jc w:val="center"/>
              <w:rPr>
                <w:rFonts w:ascii="Arial" w:hAnsi="Arial" w:cs="Arial"/>
                <w:b/>
                <w:lang w:eastAsia="en-US"/>
              </w:rPr>
            </w:pPr>
            <w:r>
              <w:rPr>
                <w:rFonts w:ascii="Arial" w:hAnsi="Arial" w:cs="Arial"/>
                <w:b/>
                <w:lang w:eastAsia="en-US"/>
              </w:rPr>
              <w:t>DATOS DEL LICITANTE</w:t>
            </w:r>
          </w:p>
        </w:tc>
      </w:tr>
      <w:tr w14:paraId="756C4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571B7D77">
            <w:pPr>
              <w:spacing w:after="0" w:line="240" w:lineRule="auto"/>
              <w:jc w:val="both"/>
              <w:rPr>
                <w:rFonts w:ascii="Arial" w:hAnsi="Arial" w:cs="Arial"/>
                <w:lang w:eastAsia="en-US"/>
              </w:rPr>
            </w:pPr>
            <w:r>
              <w:rPr>
                <w:rFonts w:ascii="Arial" w:hAnsi="Arial" w:cs="Arial"/>
                <w:lang w:eastAsia="en-US"/>
              </w:rPr>
              <w:t xml:space="preserve">LICITANTE </w:t>
            </w:r>
          </w:p>
        </w:tc>
        <w:tc>
          <w:tcPr>
            <w:tcW w:w="4527" w:type="dxa"/>
          </w:tcPr>
          <w:p w14:paraId="54A913DF">
            <w:pPr>
              <w:spacing w:after="0" w:line="240" w:lineRule="auto"/>
              <w:jc w:val="both"/>
              <w:rPr>
                <w:rFonts w:ascii="Arial" w:hAnsi="Arial" w:cs="Arial"/>
                <w:lang w:eastAsia="en-US"/>
              </w:rPr>
            </w:pPr>
          </w:p>
        </w:tc>
      </w:tr>
      <w:tr w14:paraId="0F23F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55649321">
            <w:pPr>
              <w:spacing w:after="0" w:line="240" w:lineRule="auto"/>
              <w:jc w:val="both"/>
              <w:rPr>
                <w:rFonts w:ascii="Arial" w:hAnsi="Arial" w:cs="Arial"/>
                <w:lang w:eastAsia="en-US"/>
              </w:rPr>
            </w:pPr>
            <w:r>
              <w:rPr>
                <w:rFonts w:ascii="Arial" w:hAnsi="Arial" w:cs="Arial"/>
                <w:lang w:eastAsia="en-US"/>
              </w:rPr>
              <w:t>R. F. C.</w:t>
            </w:r>
          </w:p>
        </w:tc>
        <w:tc>
          <w:tcPr>
            <w:tcW w:w="4527" w:type="dxa"/>
          </w:tcPr>
          <w:p w14:paraId="0E6D38AD">
            <w:pPr>
              <w:spacing w:after="0" w:line="240" w:lineRule="auto"/>
              <w:jc w:val="both"/>
              <w:rPr>
                <w:rFonts w:ascii="Arial" w:hAnsi="Arial" w:cs="Arial"/>
                <w:lang w:eastAsia="en-US"/>
              </w:rPr>
            </w:pPr>
          </w:p>
        </w:tc>
      </w:tr>
      <w:tr w14:paraId="006FB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71B83CCC">
            <w:pPr>
              <w:spacing w:after="0" w:line="240" w:lineRule="auto"/>
              <w:jc w:val="both"/>
              <w:rPr>
                <w:rFonts w:ascii="Arial" w:hAnsi="Arial" w:cs="Arial"/>
                <w:lang w:eastAsia="en-US"/>
              </w:rPr>
            </w:pPr>
            <w:r>
              <w:rPr>
                <w:rFonts w:ascii="Arial" w:hAnsi="Arial" w:cs="Arial"/>
                <w:lang w:eastAsia="en-US"/>
              </w:rPr>
              <w:t>NO. DE PROVEEDOR (PARA EL CASO DE CONTAR CON NÚMERO)</w:t>
            </w:r>
          </w:p>
        </w:tc>
        <w:tc>
          <w:tcPr>
            <w:tcW w:w="4527" w:type="dxa"/>
          </w:tcPr>
          <w:p w14:paraId="4401498E">
            <w:pPr>
              <w:tabs>
                <w:tab w:val="left" w:pos="1628"/>
              </w:tabs>
              <w:spacing w:after="0" w:line="240" w:lineRule="auto"/>
              <w:jc w:val="both"/>
              <w:rPr>
                <w:rFonts w:ascii="Arial" w:hAnsi="Arial" w:cs="Arial"/>
                <w:lang w:eastAsia="en-US"/>
              </w:rPr>
            </w:pPr>
          </w:p>
        </w:tc>
      </w:tr>
      <w:tr w14:paraId="7EF42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590DD5B6">
            <w:pPr>
              <w:spacing w:after="0" w:line="240" w:lineRule="auto"/>
              <w:jc w:val="both"/>
              <w:rPr>
                <w:rFonts w:ascii="Arial" w:hAnsi="Arial" w:cs="Arial"/>
                <w:lang w:eastAsia="en-US"/>
              </w:rPr>
            </w:pPr>
            <w:r>
              <w:rPr>
                <w:rFonts w:ascii="Arial" w:hAnsi="Arial" w:cs="Arial"/>
                <w:lang w:eastAsia="en-US"/>
              </w:rPr>
              <w:t>NOMBRE DE REPRESENTANTE</w:t>
            </w:r>
          </w:p>
        </w:tc>
        <w:tc>
          <w:tcPr>
            <w:tcW w:w="4527" w:type="dxa"/>
          </w:tcPr>
          <w:p w14:paraId="02CC9EC8">
            <w:pPr>
              <w:spacing w:after="0" w:line="240" w:lineRule="auto"/>
              <w:jc w:val="both"/>
              <w:rPr>
                <w:rFonts w:ascii="Arial" w:hAnsi="Arial" w:cs="Arial"/>
                <w:lang w:eastAsia="en-US"/>
              </w:rPr>
            </w:pPr>
          </w:p>
        </w:tc>
      </w:tr>
      <w:tr w14:paraId="0C6C4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27" w:type="dxa"/>
          </w:tcPr>
          <w:p w14:paraId="76961AEF">
            <w:pPr>
              <w:spacing w:after="0" w:line="240" w:lineRule="auto"/>
              <w:jc w:val="both"/>
              <w:rPr>
                <w:rFonts w:ascii="Arial" w:hAnsi="Arial" w:cs="Arial"/>
                <w:lang w:eastAsia="en-US"/>
              </w:rPr>
            </w:pPr>
            <w:r>
              <w:rPr>
                <w:rFonts w:ascii="Arial" w:hAnsi="Arial" w:cs="Arial"/>
                <w:lang w:eastAsia="en-US"/>
              </w:rPr>
              <w:t>TELÉFONO CELULAR DE CONTACTO</w:t>
            </w:r>
          </w:p>
        </w:tc>
        <w:tc>
          <w:tcPr>
            <w:tcW w:w="4527" w:type="dxa"/>
          </w:tcPr>
          <w:p w14:paraId="7794396F">
            <w:pPr>
              <w:spacing w:after="0" w:line="240" w:lineRule="auto"/>
              <w:jc w:val="both"/>
              <w:rPr>
                <w:rFonts w:ascii="Arial" w:hAnsi="Arial" w:cs="Arial"/>
                <w:lang w:eastAsia="en-US"/>
              </w:rPr>
            </w:pPr>
          </w:p>
        </w:tc>
      </w:tr>
      <w:tr w14:paraId="14DDE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4527" w:type="dxa"/>
          </w:tcPr>
          <w:p w14:paraId="30C04650">
            <w:pPr>
              <w:spacing w:after="0" w:line="240" w:lineRule="auto"/>
              <w:jc w:val="both"/>
              <w:rPr>
                <w:rFonts w:ascii="Arial" w:hAnsi="Arial" w:cs="Arial"/>
                <w:lang w:eastAsia="en-US"/>
              </w:rPr>
            </w:pPr>
            <w:r>
              <w:rPr>
                <w:rFonts w:ascii="Arial" w:hAnsi="Arial" w:cs="Arial"/>
                <w:lang w:eastAsia="en-US"/>
              </w:rPr>
              <w:t xml:space="preserve">CORREO ELECTRÓNICO </w:t>
            </w:r>
          </w:p>
        </w:tc>
        <w:tc>
          <w:tcPr>
            <w:tcW w:w="4527" w:type="dxa"/>
          </w:tcPr>
          <w:p w14:paraId="5B56328B">
            <w:pPr>
              <w:spacing w:after="0" w:line="240" w:lineRule="auto"/>
              <w:jc w:val="both"/>
              <w:rPr>
                <w:rFonts w:ascii="Arial" w:hAnsi="Arial" w:cs="Arial"/>
                <w:lang w:eastAsia="en-US"/>
              </w:rPr>
            </w:pPr>
          </w:p>
        </w:tc>
      </w:tr>
      <w:tr w14:paraId="2AC7F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54" w:type="dxa"/>
            <w:gridSpan w:val="2"/>
          </w:tcPr>
          <w:p w14:paraId="1F64DA09">
            <w:pPr>
              <w:spacing w:after="0" w:line="240" w:lineRule="auto"/>
              <w:jc w:val="center"/>
              <w:rPr>
                <w:rFonts w:ascii="Arial" w:hAnsi="Arial" w:cs="Arial"/>
                <w:lang w:eastAsia="en-US"/>
              </w:rPr>
            </w:pPr>
          </w:p>
          <w:p w14:paraId="7B0D4A6E">
            <w:pPr>
              <w:spacing w:after="0" w:line="240" w:lineRule="auto"/>
              <w:jc w:val="center"/>
              <w:rPr>
                <w:rFonts w:ascii="Arial" w:hAnsi="Arial" w:cs="Arial"/>
                <w:lang w:eastAsia="en-US"/>
              </w:rPr>
            </w:pPr>
            <w:r>
              <w:rPr>
                <w:rFonts w:ascii="Arial" w:hAnsi="Arial" w:cs="Arial"/>
                <w:lang w:eastAsia="en-US"/>
              </w:rPr>
              <w:t>Sello autorización área responsable</w:t>
            </w:r>
          </w:p>
          <w:p w14:paraId="47ED62E2">
            <w:pPr>
              <w:spacing w:after="0" w:line="240" w:lineRule="auto"/>
              <w:rPr>
                <w:rFonts w:ascii="Arial" w:hAnsi="Arial" w:cs="Arial"/>
                <w:lang w:eastAsia="en-US"/>
              </w:rPr>
            </w:pPr>
          </w:p>
          <w:p w14:paraId="78F75AEE">
            <w:pPr>
              <w:spacing w:after="0" w:line="240" w:lineRule="auto"/>
              <w:rPr>
                <w:rFonts w:ascii="Arial" w:hAnsi="Arial" w:cs="Arial"/>
                <w:lang w:eastAsia="en-US"/>
              </w:rPr>
            </w:pPr>
          </w:p>
          <w:p w14:paraId="44684CB4">
            <w:pPr>
              <w:spacing w:after="0" w:line="240" w:lineRule="auto"/>
              <w:rPr>
                <w:rFonts w:ascii="Arial" w:hAnsi="Arial" w:cs="Arial"/>
                <w:lang w:eastAsia="en-US"/>
              </w:rPr>
            </w:pPr>
          </w:p>
          <w:p w14:paraId="70537320">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center"/>
              <w:rPr>
                <w:rFonts w:ascii="Arial" w:hAnsi="Arial" w:eastAsia="Arial" w:cs="Arial"/>
                <w:color w:val="000000"/>
                <w:lang w:eastAsia="en-US"/>
              </w:rPr>
            </w:pPr>
            <w:r>
              <w:rPr>
                <w:rFonts w:ascii="Arial" w:hAnsi="Arial" w:eastAsia="Arial" w:cs="Arial"/>
                <w:color w:val="000000"/>
                <w:lang w:eastAsia="en-US"/>
              </w:rPr>
              <w:t xml:space="preserve">Lic. </w:t>
            </w:r>
            <w:bookmarkStart w:id="4" w:name="_Hlk163734404"/>
            <w:r>
              <w:rPr>
                <w:rFonts w:ascii="Arial" w:hAnsi="Arial" w:eastAsia="Arial" w:cs="Arial"/>
                <w:color w:val="000000"/>
                <w:lang w:eastAsia="en-US"/>
              </w:rPr>
              <w:t>Raúl</w:t>
            </w:r>
            <w:bookmarkEnd w:id="4"/>
            <w:r>
              <w:rPr>
                <w:rFonts w:ascii="Arial" w:hAnsi="Arial" w:eastAsia="Arial" w:cs="Arial"/>
                <w:color w:val="000000"/>
                <w:lang w:eastAsia="en-US"/>
              </w:rPr>
              <w:t xml:space="preserve"> Cuevas Landeros </w:t>
            </w:r>
          </w:p>
          <w:p w14:paraId="4C747561">
            <w:pPr>
              <w:widowControl w:val="0"/>
              <w:pBdr>
                <w:top w:val="none" w:color="auto" w:sz="0" w:space="0"/>
                <w:left w:val="none" w:color="auto" w:sz="0" w:space="0"/>
                <w:bottom w:val="none" w:color="auto" w:sz="0" w:space="0"/>
                <w:right w:val="none" w:color="auto" w:sz="0" w:space="0"/>
                <w:between w:val="none" w:color="auto" w:sz="0" w:space="0"/>
              </w:pBdr>
              <w:spacing w:after="0" w:line="240" w:lineRule="auto"/>
              <w:ind w:left="108" w:right="622" w:hanging="108"/>
              <w:jc w:val="center"/>
              <w:rPr>
                <w:rFonts w:ascii="Arial" w:hAnsi="Arial" w:eastAsia="Arial" w:cs="Arial"/>
                <w:color w:val="000000"/>
                <w:lang w:eastAsia="en-US"/>
              </w:rPr>
            </w:pPr>
            <w:r>
              <w:rPr>
                <w:rFonts w:ascii="Arial" w:hAnsi="Arial" w:eastAsia="Arial" w:cs="Arial"/>
                <w:color w:val="000000"/>
                <w:lang w:eastAsia="en-US"/>
              </w:rPr>
              <w:t>Director de Recursos Materiales</w:t>
            </w:r>
          </w:p>
        </w:tc>
      </w:tr>
    </w:tbl>
    <w:p w14:paraId="53DB8A09">
      <w:pPr>
        <w:spacing w:after="0"/>
        <w:rPr>
          <w:rFonts w:ascii="Arial" w:hAnsi="Arial" w:cs="Arial"/>
        </w:rPr>
      </w:pPr>
    </w:p>
    <w:p w14:paraId="284B6DD6">
      <w:pPr>
        <w:spacing w:after="0"/>
        <w:rPr>
          <w:rFonts w:ascii="Arial" w:hAnsi="Arial" w:cs="Arial"/>
        </w:rPr>
      </w:pPr>
    </w:p>
    <w:p w14:paraId="574B9460">
      <w:pPr>
        <w:spacing w:after="0"/>
        <w:rPr>
          <w:rFonts w:ascii="Arial" w:hAnsi="Arial" w:cs="Arial"/>
          <w:sz w:val="20"/>
          <w:szCs w:val="20"/>
        </w:rPr>
      </w:pPr>
      <w:r>
        <w:rPr>
          <w:rFonts w:ascii="Arial" w:hAnsi="Arial" w:cs="Arial"/>
          <w:sz w:val="20"/>
          <w:szCs w:val="20"/>
        </w:rPr>
        <w:t>Favor de llenar a máquina o con letra de molde</w:t>
      </w:r>
    </w:p>
    <w:p w14:paraId="171E73C4">
      <w:pPr>
        <w:spacing w:after="0"/>
        <w:ind w:right="622"/>
        <w:rPr>
          <w:rFonts w:ascii="Arial" w:hAnsi="Arial" w:eastAsia="Arial" w:cs="Arial"/>
        </w:rPr>
      </w:pPr>
    </w:p>
    <w:p w14:paraId="4C0A48F3">
      <w:pPr>
        <w:spacing w:after="0"/>
        <w:ind w:right="622"/>
        <w:rPr>
          <w:rFonts w:ascii="Arial" w:hAnsi="Arial" w:eastAsia="Arial" w:cs="Arial"/>
        </w:rPr>
      </w:pPr>
    </w:p>
    <w:p w14:paraId="11BFEEAE">
      <w:pPr>
        <w:spacing w:after="0"/>
        <w:ind w:right="622"/>
        <w:rPr>
          <w:rFonts w:ascii="Arial" w:hAnsi="Arial" w:eastAsia="Arial" w:cs="Arial"/>
        </w:rPr>
      </w:pPr>
    </w:p>
    <w:sectPr>
      <w:headerReference r:id="rId5" w:type="default"/>
      <w:footerReference r:id="rId6" w:type="default"/>
      <w:pgSz w:w="12240" w:h="15840"/>
      <w:pgMar w:top="2438" w:right="1183" w:bottom="1871" w:left="1361" w:header="709" w:footer="709" w:gutter="0"/>
      <w:pgNumType w:fmt="decimal" w:start="1"/>
      <w:cols w:space="720" w:num="1"/>
      <w:docGrid w:linePitch="29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0002A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Geneva">
    <w:altName w:val="Arial"/>
    <w:panose1 w:val="00000000000000000000"/>
    <w:charset w:val="00"/>
    <w:family w:val="swiss"/>
    <w:pitch w:val="default"/>
    <w:sig w:usb0="00000000" w:usb1="00000000" w:usb2="00000000" w:usb3="00000000" w:csb0="00000093" w:csb1="00000000"/>
  </w:font>
  <w:font w:name="Core Rhino 35 Light">
    <w:altName w:val="Calibri"/>
    <w:panose1 w:val="00000000000000000000"/>
    <w:charset w:val="00"/>
    <w:family w:val="auto"/>
    <w:pitch w:val="default"/>
    <w:sig w:usb0="00000000" w:usb1="00000000" w:usb2="00000000" w:usb3="00000000" w:csb0="00000097" w:csb1="00000000"/>
  </w:font>
  <w:font w:name="Mangal">
    <w:altName w:val="Segoe Print"/>
    <w:panose1 w:val="00000400000000000000"/>
    <w:charset w:val="00"/>
    <w:family w:val="roman"/>
    <w:pitch w:val="default"/>
    <w:sig w:usb0="00000000" w:usb1="00000000" w:usb2="00000000" w:usb3="00000000" w:csb0="00000001" w:csb1="00000000"/>
  </w:font>
  <w:font w:name="Malgun Gothic">
    <w:panose1 w:val="020B0503020000020004"/>
    <w:charset w:val="81"/>
    <w:family w:val="auto"/>
    <w:pitch w:val="default"/>
    <w:sig w:usb0="9000002F" w:usb1="29D77CFB" w:usb2="00000012" w:usb3="00000000" w:csb0="0008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0A146">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jc w:val="right"/>
      <w:rPr>
        <w:rFonts w:ascii="Times New Roman" w:hAnsi="Times New Roman" w:eastAsia="Times New Roman" w:cs="Times New Roman"/>
        <w:color w:val="000000"/>
        <w:sz w:val="24"/>
        <w:szCs w:val="24"/>
      </w:rPr>
    </w:pPr>
    <w:r>
      <w:rPr>
        <w:sz w:val="24"/>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Cuadro de texto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45385C">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jc w:val="right"/>
                          </w:pPr>
                          <w:r>
                            <w:rPr>
                              <w:rFonts w:ascii="Times New Roman" w:hAnsi="Times New Roman" w:eastAsia="Times New Roman" w:cs="Times New Roman"/>
                              <w:color w:val="000000"/>
                              <w:sz w:val="24"/>
                              <w:szCs w:val="24"/>
                            </w:rPr>
                            <w:fldChar w:fldCharType="begin"/>
                          </w:r>
                          <w:r>
                            <w:rPr>
                              <w:rFonts w:ascii="Times New Roman" w:hAnsi="Times New Roman" w:eastAsia="Times New Roman" w:cs="Times New Roman"/>
                              <w:color w:val="000000"/>
                              <w:sz w:val="24"/>
                              <w:szCs w:val="24"/>
                            </w:rPr>
                            <w:instrText xml:space="preserve">PAGE</w:instrText>
                          </w:r>
                          <w:r>
                            <w:rPr>
                              <w:rFonts w:ascii="Times New Roman" w:hAnsi="Times New Roman" w:eastAsia="Times New Roman" w:cs="Times New Roman"/>
                              <w:color w:val="000000"/>
                              <w:sz w:val="24"/>
                              <w:szCs w:val="24"/>
                            </w:rPr>
                            <w:fldChar w:fldCharType="separate"/>
                          </w:r>
                          <w:r>
                            <w:rPr>
                              <w:rFonts w:ascii="Times New Roman" w:hAnsi="Times New Roman" w:eastAsia="Times New Roman" w:cs="Times New Roman"/>
                              <w:color w:val="000000"/>
                              <w:sz w:val="24"/>
                              <w:szCs w:val="24"/>
                            </w:rPr>
                            <w:t>1</w:t>
                          </w:r>
                          <w:r>
                            <w:rPr>
                              <w:rFonts w:ascii="Times New Roman" w:hAnsi="Times New Roman" w:eastAsia="Times New Roman" w:cs="Times New Roman"/>
                              <w:color w:val="000000"/>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s0lY7tAA&#10;AAAFAQAADwAAAAAAAAABACAAAAAiAAAAZHJzL2Rvd25yZXYueG1sUEsBAhQAFAAAAAgAh07iQDLp&#10;B+InAgAAZwQAAA4AAAAAAAAAAQAgAAAAHwEAAGRycy9lMm9Eb2MueG1sUEsFBgAAAAAGAAYAWQEA&#10;ALgFAAAAAA==&#10;">
              <v:fill on="f" focussize="0,0"/>
              <v:stroke on="f" weight="0.5pt"/>
              <v:imagedata o:title=""/>
              <o:lock v:ext="edit" aspectratio="f"/>
              <v:textbox inset="0mm,0mm,0mm,0mm" style="mso-fit-shape-to-text:t;">
                <w:txbxContent>
                  <w:p w14:paraId="4445385C">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jc w:val="right"/>
                    </w:pPr>
                    <w:r>
                      <w:rPr>
                        <w:rFonts w:ascii="Times New Roman" w:hAnsi="Times New Roman" w:eastAsia="Times New Roman" w:cs="Times New Roman"/>
                        <w:color w:val="000000"/>
                        <w:sz w:val="24"/>
                        <w:szCs w:val="24"/>
                      </w:rPr>
                      <w:fldChar w:fldCharType="begin"/>
                    </w:r>
                    <w:r>
                      <w:rPr>
                        <w:rFonts w:ascii="Times New Roman" w:hAnsi="Times New Roman" w:eastAsia="Times New Roman" w:cs="Times New Roman"/>
                        <w:color w:val="000000"/>
                        <w:sz w:val="24"/>
                        <w:szCs w:val="24"/>
                      </w:rPr>
                      <w:instrText xml:space="preserve">PAGE</w:instrText>
                    </w:r>
                    <w:r>
                      <w:rPr>
                        <w:rFonts w:ascii="Times New Roman" w:hAnsi="Times New Roman" w:eastAsia="Times New Roman" w:cs="Times New Roman"/>
                        <w:color w:val="000000"/>
                        <w:sz w:val="24"/>
                        <w:szCs w:val="24"/>
                      </w:rPr>
                      <w:fldChar w:fldCharType="separate"/>
                    </w:r>
                    <w:r>
                      <w:rPr>
                        <w:rFonts w:ascii="Times New Roman" w:hAnsi="Times New Roman" w:eastAsia="Times New Roman" w:cs="Times New Roman"/>
                        <w:color w:val="000000"/>
                        <w:sz w:val="24"/>
                        <w:szCs w:val="24"/>
                      </w:rPr>
                      <w:t>1</w:t>
                    </w:r>
                    <w:r>
                      <w:rPr>
                        <w:rFonts w:ascii="Times New Roman" w:hAnsi="Times New Roman" w:eastAsia="Times New Roman" w:cs="Times New Roman"/>
                        <w:color w:val="000000"/>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ECDBE">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jc w:val="right"/>
      <w:rPr>
        <w:rFonts w:ascii="Times New Roman" w:hAnsi="Times New Roman" w:eastAsia="Times New Roman" w:cs="Times New Roman"/>
        <w:color w:val="000000"/>
        <w:sz w:val="24"/>
        <w:szCs w:val="24"/>
      </w:rPr>
    </w:pPr>
  </w:p>
  <w:p w14:paraId="50E7B515">
    <w:pPr>
      <w:pBdr>
        <w:top w:val="none" w:color="auto" w:sz="0" w:space="0"/>
        <w:left w:val="none" w:color="auto" w:sz="0" w:space="0"/>
        <w:bottom w:val="none" w:color="auto" w:sz="0" w:space="0"/>
        <w:right w:val="none" w:color="auto" w:sz="0" w:space="0"/>
        <w:between w:val="none" w:color="auto" w:sz="0" w:space="0"/>
      </w:pBdr>
      <w:tabs>
        <w:tab w:val="center" w:pos="4252"/>
        <w:tab w:val="right" w:pos="8504"/>
      </w:tabs>
      <w:spacing w:after="0" w:line="240" w:lineRule="auto"/>
      <w:rPr>
        <w:rFonts w:ascii="Times New Roman" w:hAnsi="Times New Roman" w:eastAsia="Times New Roman" w:cs="Times New Roman"/>
        <w:color w:val="000000"/>
        <w:sz w:val="24"/>
        <w:szCs w:val="24"/>
      </w:rPr>
    </w:pPr>
  </w:p>
  <w:p w14:paraId="641AD64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720"/>
  <w:hyphenationZone w:val="425"/>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4B21"/>
    <w:rsid w:val="000102A7"/>
    <w:rsid w:val="000103FF"/>
    <w:rsid w:val="0001452A"/>
    <w:rsid w:val="00022314"/>
    <w:rsid w:val="000231FD"/>
    <w:rsid w:val="00032F0A"/>
    <w:rsid w:val="000362CE"/>
    <w:rsid w:val="000412A5"/>
    <w:rsid w:val="0004354F"/>
    <w:rsid w:val="0004504B"/>
    <w:rsid w:val="00045AF1"/>
    <w:rsid w:val="00046ED5"/>
    <w:rsid w:val="00052083"/>
    <w:rsid w:val="00053413"/>
    <w:rsid w:val="000561CF"/>
    <w:rsid w:val="00066DDF"/>
    <w:rsid w:val="00067BD3"/>
    <w:rsid w:val="00070438"/>
    <w:rsid w:val="00071093"/>
    <w:rsid w:val="000810AA"/>
    <w:rsid w:val="0008209F"/>
    <w:rsid w:val="000862DD"/>
    <w:rsid w:val="00087681"/>
    <w:rsid w:val="00090E4A"/>
    <w:rsid w:val="00093921"/>
    <w:rsid w:val="0009799F"/>
    <w:rsid w:val="00097BAF"/>
    <w:rsid w:val="000A1292"/>
    <w:rsid w:val="000A2685"/>
    <w:rsid w:val="000A56ED"/>
    <w:rsid w:val="000A798F"/>
    <w:rsid w:val="000B37C6"/>
    <w:rsid w:val="000B633E"/>
    <w:rsid w:val="000C4BE9"/>
    <w:rsid w:val="000D2344"/>
    <w:rsid w:val="000D35EA"/>
    <w:rsid w:val="000D76BC"/>
    <w:rsid w:val="000D7E28"/>
    <w:rsid w:val="000F18CF"/>
    <w:rsid w:val="000F1FF1"/>
    <w:rsid w:val="000F2E7D"/>
    <w:rsid w:val="000F37F0"/>
    <w:rsid w:val="000F48E6"/>
    <w:rsid w:val="00104A30"/>
    <w:rsid w:val="001068BB"/>
    <w:rsid w:val="00113562"/>
    <w:rsid w:val="00116277"/>
    <w:rsid w:val="00121D73"/>
    <w:rsid w:val="0012726F"/>
    <w:rsid w:val="001301C1"/>
    <w:rsid w:val="00130E60"/>
    <w:rsid w:val="00135E62"/>
    <w:rsid w:val="001419C6"/>
    <w:rsid w:val="00142241"/>
    <w:rsid w:val="00142A86"/>
    <w:rsid w:val="00143430"/>
    <w:rsid w:val="001530E7"/>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865"/>
    <w:rsid w:val="001D6F46"/>
    <w:rsid w:val="001D7BC6"/>
    <w:rsid w:val="001E3216"/>
    <w:rsid w:val="001E3F12"/>
    <w:rsid w:val="001E7283"/>
    <w:rsid w:val="001E79D3"/>
    <w:rsid w:val="001E7C67"/>
    <w:rsid w:val="00200F3E"/>
    <w:rsid w:val="002012BE"/>
    <w:rsid w:val="0020470D"/>
    <w:rsid w:val="00204A8F"/>
    <w:rsid w:val="00204F64"/>
    <w:rsid w:val="00205E09"/>
    <w:rsid w:val="00206F89"/>
    <w:rsid w:val="00207F3F"/>
    <w:rsid w:val="0021253E"/>
    <w:rsid w:val="0022730C"/>
    <w:rsid w:val="00235CEF"/>
    <w:rsid w:val="00240817"/>
    <w:rsid w:val="00243B3D"/>
    <w:rsid w:val="002454AE"/>
    <w:rsid w:val="00245610"/>
    <w:rsid w:val="00246250"/>
    <w:rsid w:val="0025145D"/>
    <w:rsid w:val="0025168A"/>
    <w:rsid w:val="0025719C"/>
    <w:rsid w:val="00260BA5"/>
    <w:rsid w:val="00263F47"/>
    <w:rsid w:val="002649E8"/>
    <w:rsid w:val="00264A90"/>
    <w:rsid w:val="002656F0"/>
    <w:rsid w:val="002660C7"/>
    <w:rsid w:val="00277750"/>
    <w:rsid w:val="0028521C"/>
    <w:rsid w:val="00294B90"/>
    <w:rsid w:val="002A00E3"/>
    <w:rsid w:val="002A56F2"/>
    <w:rsid w:val="002A6CC2"/>
    <w:rsid w:val="002B2214"/>
    <w:rsid w:val="002C5A50"/>
    <w:rsid w:val="002C7D85"/>
    <w:rsid w:val="002D3A73"/>
    <w:rsid w:val="002D6DD1"/>
    <w:rsid w:val="002E4CEE"/>
    <w:rsid w:val="0031007A"/>
    <w:rsid w:val="003238E3"/>
    <w:rsid w:val="00323992"/>
    <w:rsid w:val="00325474"/>
    <w:rsid w:val="003274C0"/>
    <w:rsid w:val="0034354D"/>
    <w:rsid w:val="00346D5D"/>
    <w:rsid w:val="00347E14"/>
    <w:rsid w:val="00350DB6"/>
    <w:rsid w:val="003513AC"/>
    <w:rsid w:val="00355C37"/>
    <w:rsid w:val="00356E19"/>
    <w:rsid w:val="00365542"/>
    <w:rsid w:val="00365B30"/>
    <w:rsid w:val="00371CB1"/>
    <w:rsid w:val="00380677"/>
    <w:rsid w:val="003809EA"/>
    <w:rsid w:val="0038186D"/>
    <w:rsid w:val="003842D8"/>
    <w:rsid w:val="0039143B"/>
    <w:rsid w:val="00394146"/>
    <w:rsid w:val="00394374"/>
    <w:rsid w:val="00394A9D"/>
    <w:rsid w:val="00394B7C"/>
    <w:rsid w:val="00394B8D"/>
    <w:rsid w:val="003A3AB9"/>
    <w:rsid w:val="003B1914"/>
    <w:rsid w:val="003B1F5C"/>
    <w:rsid w:val="003B5BD3"/>
    <w:rsid w:val="003B7596"/>
    <w:rsid w:val="003D3C96"/>
    <w:rsid w:val="003E1E0A"/>
    <w:rsid w:val="003E7D58"/>
    <w:rsid w:val="003F2272"/>
    <w:rsid w:val="003F3D2D"/>
    <w:rsid w:val="003F6B40"/>
    <w:rsid w:val="00401E6B"/>
    <w:rsid w:val="004034FD"/>
    <w:rsid w:val="0040486B"/>
    <w:rsid w:val="004063D7"/>
    <w:rsid w:val="00411C37"/>
    <w:rsid w:val="0041398C"/>
    <w:rsid w:val="004223BD"/>
    <w:rsid w:val="00425286"/>
    <w:rsid w:val="00430D72"/>
    <w:rsid w:val="00433930"/>
    <w:rsid w:val="004374A6"/>
    <w:rsid w:val="00437D53"/>
    <w:rsid w:val="00461134"/>
    <w:rsid w:val="0046324E"/>
    <w:rsid w:val="004645AD"/>
    <w:rsid w:val="0046603D"/>
    <w:rsid w:val="00472803"/>
    <w:rsid w:val="00475100"/>
    <w:rsid w:val="00475A56"/>
    <w:rsid w:val="00475E1F"/>
    <w:rsid w:val="00477353"/>
    <w:rsid w:val="004815F6"/>
    <w:rsid w:val="0048559F"/>
    <w:rsid w:val="00487B45"/>
    <w:rsid w:val="00490DD4"/>
    <w:rsid w:val="00491EB9"/>
    <w:rsid w:val="004A0E35"/>
    <w:rsid w:val="004A0E4C"/>
    <w:rsid w:val="004A4633"/>
    <w:rsid w:val="004A4BC4"/>
    <w:rsid w:val="004A5777"/>
    <w:rsid w:val="004B2D97"/>
    <w:rsid w:val="004B40C8"/>
    <w:rsid w:val="004B4B53"/>
    <w:rsid w:val="004B5302"/>
    <w:rsid w:val="004C2F5D"/>
    <w:rsid w:val="004D2558"/>
    <w:rsid w:val="004D71E0"/>
    <w:rsid w:val="004E0773"/>
    <w:rsid w:val="004E1758"/>
    <w:rsid w:val="004E763F"/>
    <w:rsid w:val="004F0EDF"/>
    <w:rsid w:val="004F0FC9"/>
    <w:rsid w:val="004F3D54"/>
    <w:rsid w:val="004F4B7C"/>
    <w:rsid w:val="0050079F"/>
    <w:rsid w:val="00501442"/>
    <w:rsid w:val="00507A0C"/>
    <w:rsid w:val="00513CB2"/>
    <w:rsid w:val="00514702"/>
    <w:rsid w:val="005200F9"/>
    <w:rsid w:val="00520895"/>
    <w:rsid w:val="00525CA2"/>
    <w:rsid w:val="00526902"/>
    <w:rsid w:val="00526D97"/>
    <w:rsid w:val="005334AA"/>
    <w:rsid w:val="00535FD2"/>
    <w:rsid w:val="00536070"/>
    <w:rsid w:val="00551A16"/>
    <w:rsid w:val="00551ED8"/>
    <w:rsid w:val="00564DED"/>
    <w:rsid w:val="005670E3"/>
    <w:rsid w:val="0057216C"/>
    <w:rsid w:val="00583156"/>
    <w:rsid w:val="00591672"/>
    <w:rsid w:val="005961B4"/>
    <w:rsid w:val="0059793B"/>
    <w:rsid w:val="005A41EF"/>
    <w:rsid w:val="005A5047"/>
    <w:rsid w:val="005A6979"/>
    <w:rsid w:val="005A6BB1"/>
    <w:rsid w:val="005B0893"/>
    <w:rsid w:val="005B13C3"/>
    <w:rsid w:val="005B3616"/>
    <w:rsid w:val="005B45AB"/>
    <w:rsid w:val="005B5F39"/>
    <w:rsid w:val="005C1AEC"/>
    <w:rsid w:val="005C3BCA"/>
    <w:rsid w:val="005C4769"/>
    <w:rsid w:val="005D5C50"/>
    <w:rsid w:val="005D6E5A"/>
    <w:rsid w:val="005D724A"/>
    <w:rsid w:val="005F56A7"/>
    <w:rsid w:val="00601F30"/>
    <w:rsid w:val="00604F47"/>
    <w:rsid w:val="00607814"/>
    <w:rsid w:val="00613720"/>
    <w:rsid w:val="00613D8D"/>
    <w:rsid w:val="00617F12"/>
    <w:rsid w:val="006210FB"/>
    <w:rsid w:val="006243FA"/>
    <w:rsid w:val="00624BF8"/>
    <w:rsid w:val="0062573A"/>
    <w:rsid w:val="00633A05"/>
    <w:rsid w:val="00636C69"/>
    <w:rsid w:val="00637D4F"/>
    <w:rsid w:val="00655CE2"/>
    <w:rsid w:val="00661693"/>
    <w:rsid w:val="0066404A"/>
    <w:rsid w:val="00665C21"/>
    <w:rsid w:val="0068498A"/>
    <w:rsid w:val="006908ED"/>
    <w:rsid w:val="006929A7"/>
    <w:rsid w:val="00697E27"/>
    <w:rsid w:val="006A0DEF"/>
    <w:rsid w:val="006A273B"/>
    <w:rsid w:val="006A4AF2"/>
    <w:rsid w:val="006B2293"/>
    <w:rsid w:val="006C51E1"/>
    <w:rsid w:val="006D0CE7"/>
    <w:rsid w:val="006D1041"/>
    <w:rsid w:val="006D7214"/>
    <w:rsid w:val="00701159"/>
    <w:rsid w:val="00701B0C"/>
    <w:rsid w:val="007115B4"/>
    <w:rsid w:val="00711C13"/>
    <w:rsid w:val="00712329"/>
    <w:rsid w:val="007124E0"/>
    <w:rsid w:val="00715811"/>
    <w:rsid w:val="00716709"/>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779C"/>
    <w:rsid w:val="00794351"/>
    <w:rsid w:val="007A2687"/>
    <w:rsid w:val="007A568B"/>
    <w:rsid w:val="007A6465"/>
    <w:rsid w:val="007B4053"/>
    <w:rsid w:val="007B48BB"/>
    <w:rsid w:val="007C1A78"/>
    <w:rsid w:val="007C25B9"/>
    <w:rsid w:val="007C44D4"/>
    <w:rsid w:val="007C4EFC"/>
    <w:rsid w:val="007C684A"/>
    <w:rsid w:val="007C72F3"/>
    <w:rsid w:val="007D2756"/>
    <w:rsid w:val="007D2FB2"/>
    <w:rsid w:val="007D3B96"/>
    <w:rsid w:val="007E338C"/>
    <w:rsid w:val="007E374B"/>
    <w:rsid w:val="007F000D"/>
    <w:rsid w:val="007F383F"/>
    <w:rsid w:val="00805345"/>
    <w:rsid w:val="008079AC"/>
    <w:rsid w:val="00813089"/>
    <w:rsid w:val="00814A57"/>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30A3"/>
    <w:rsid w:val="00877A79"/>
    <w:rsid w:val="0088059B"/>
    <w:rsid w:val="00885F5D"/>
    <w:rsid w:val="00886C20"/>
    <w:rsid w:val="008910DA"/>
    <w:rsid w:val="0089202F"/>
    <w:rsid w:val="008954E7"/>
    <w:rsid w:val="008A11AD"/>
    <w:rsid w:val="008A50EC"/>
    <w:rsid w:val="008A577F"/>
    <w:rsid w:val="008A64CF"/>
    <w:rsid w:val="008B1ED9"/>
    <w:rsid w:val="008B21F6"/>
    <w:rsid w:val="008B55C8"/>
    <w:rsid w:val="008B6042"/>
    <w:rsid w:val="008B6993"/>
    <w:rsid w:val="008C1A23"/>
    <w:rsid w:val="008D2CE5"/>
    <w:rsid w:val="008E2FD1"/>
    <w:rsid w:val="008E3097"/>
    <w:rsid w:val="008E4CCB"/>
    <w:rsid w:val="008F052C"/>
    <w:rsid w:val="008F12E5"/>
    <w:rsid w:val="00900A98"/>
    <w:rsid w:val="00903402"/>
    <w:rsid w:val="00905391"/>
    <w:rsid w:val="00911CF1"/>
    <w:rsid w:val="00914A4D"/>
    <w:rsid w:val="0091527B"/>
    <w:rsid w:val="009220F7"/>
    <w:rsid w:val="00927A3E"/>
    <w:rsid w:val="00930E67"/>
    <w:rsid w:val="00935AB0"/>
    <w:rsid w:val="0094060A"/>
    <w:rsid w:val="00941274"/>
    <w:rsid w:val="00946EAF"/>
    <w:rsid w:val="009542F7"/>
    <w:rsid w:val="00957D79"/>
    <w:rsid w:val="009615C2"/>
    <w:rsid w:val="00967EC6"/>
    <w:rsid w:val="009721FC"/>
    <w:rsid w:val="009774B8"/>
    <w:rsid w:val="0098102D"/>
    <w:rsid w:val="00981216"/>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B5050"/>
    <w:rsid w:val="009D02DE"/>
    <w:rsid w:val="009D078B"/>
    <w:rsid w:val="009D2C4B"/>
    <w:rsid w:val="009D575D"/>
    <w:rsid w:val="009D77C7"/>
    <w:rsid w:val="009E43FD"/>
    <w:rsid w:val="009E47A0"/>
    <w:rsid w:val="009E5E1E"/>
    <w:rsid w:val="009E5FA5"/>
    <w:rsid w:val="009E7806"/>
    <w:rsid w:val="009F21F7"/>
    <w:rsid w:val="00A03379"/>
    <w:rsid w:val="00A03C7B"/>
    <w:rsid w:val="00A057F8"/>
    <w:rsid w:val="00A3465B"/>
    <w:rsid w:val="00A36263"/>
    <w:rsid w:val="00A40424"/>
    <w:rsid w:val="00A41BE6"/>
    <w:rsid w:val="00A47A1F"/>
    <w:rsid w:val="00A47C33"/>
    <w:rsid w:val="00A51A65"/>
    <w:rsid w:val="00A5476E"/>
    <w:rsid w:val="00A54BC1"/>
    <w:rsid w:val="00A54FC6"/>
    <w:rsid w:val="00A563E3"/>
    <w:rsid w:val="00A60988"/>
    <w:rsid w:val="00A63AE8"/>
    <w:rsid w:val="00A67018"/>
    <w:rsid w:val="00A85347"/>
    <w:rsid w:val="00A9067A"/>
    <w:rsid w:val="00A93E1B"/>
    <w:rsid w:val="00A977C9"/>
    <w:rsid w:val="00AA5FFB"/>
    <w:rsid w:val="00AA62E9"/>
    <w:rsid w:val="00AA6D87"/>
    <w:rsid w:val="00AC13ED"/>
    <w:rsid w:val="00AC2130"/>
    <w:rsid w:val="00AC367D"/>
    <w:rsid w:val="00AC36EA"/>
    <w:rsid w:val="00AC4EE4"/>
    <w:rsid w:val="00AC64A0"/>
    <w:rsid w:val="00AC7B14"/>
    <w:rsid w:val="00AD0DFC"/>
    <w:rsid w:val="00AD25C9"/>
    <w:rsid w:val="00AD61AD"/>
    <w:rsid w:val="00AD66CC"/>
    <w:rsid w:val="00AE0CE4"/>
    <w:rsid w:val="00AF5535"/>
    <w:rsid w:val="00AF79C2"/>
    <w:rsid w:val="00B00163"/>
    <w:rsid w:val="00B007C7"/>
    <w:rsid w:val="00B02F48"/>
    <w:rsid w:val="00B10797"/>
    <w:rsid w:val="00B1514C"/>
    <w:rsid w:val="00B15BEA"/>
    <w:rsid w:val="00B15CC4"/>
    <w:rsid w:val="00B17323"/>
    <w:rsid w:val="00B17D1A"/>
    <w:rsid w:val="00B25ED9"/>
    <w:rsid w:val="00B32297"/>
    <w:rsid w:val="00B372E5"/>
    <w:rsid w:val="00B401DD"/>
    <w:rsid w:val="00B42005"/>
    <w:rsid w:val="00B42D70"/>
    <w:rsid w:val="00B5418E"/>
    <w:rsid w:val="00B611D5"/>
    <w:rsid w:val="00B654AC"/>
    <w:rsid w:val="00B765AE"/>
    <w:rsid w:val="00B76B91"/>
    <w:rsid w:val="00B82011"/>
    <w:rsid w:val="00B83FA9"/>
    <w:rsid w:val="00B85E92"/>
    <w:rsid w:val="00B861E2"/>
    <w:rsid w:val="00B86A58"/>
    <w:rsid w:val="00B87942"/>
    <w:rsid w:val="00B938D4"/>
    <w:rsid w:val="00B94699"/>
    <w:rsid w:val="00B94CFF"/>
    <w:rsid w:val="00B9510B"/>
    <w:rsid w:val="00BA015E"/>
    <w:rsid w:val="00BC2333"/>
    <w:rsid w:val="00BC3CC5"/>
    <w:rsid w:val="00BC55B5"/>
    <w:rsid w:val="00BC6729"/>
    <w:rsid w:val="00BD2CAF"/>
    <w:rsid w:val="00BD3E3A"/>
    <w:rsid w:val="00BE35BF"/>
    <w:rsid w:val="00BE41EC"/>
    <w:rsid w:val="00BE571D"/>
    <w:rsid w:val="00BE68B9"/>
    <w:rsid w:val="00C073E6"/>
    <w:rsid w:val="00C1537A"/>
    <w:rsid w:val="00C15CB2"/>
    <w:rsid w:val="00C3070D"/>
    <w:rsid w:val="00C34CAB"/>
    <w:rsid w:val="00C36272"/>
    <w:rsid w:val="00C41D1E"/>
    <w:rsid w:val="00C4339E"/>
    <w:rsid w:val="00C44CB7"/>
    <w:rsid w:val="00C47550"/>
    <w:rsid w:val="00C54C6F"/>
    <w:rsid w:val="00C577F7"/>
    <w:rsid w:val="00C6080C"/>
    <w:rsid w:val="00C624C4"/>
    <w:rsid w:val="00C66EB5"/>
    <w:rsid w:val="00C75A9E"/>
    <w:rsid w:val="00C8027C"/>
    <w:rsid w:val="00C8195E"/>
    <w:rsid w:val="00C8375C"/>
    <w:rsid w:val="00C83BEB"/>
    <w:rsid w:val="00C924E3"/>
    <w:rsid w:val="00C94B1C"/>
    <w:rsid w:val="00CA3442"/>
    <w:rsid w:val="00CA5A0C"/>
    <w:rsid w:val="00CA6BC4"/>
    <w:rsid w:val="00CC1B29"/>
    <w:rsid w:val="00CC2DC4"/>
    <w:rsid w:val="00CD0AD6"/>
    <w:rsid w:val="00CD1AEC"/>
    <w:rsid w:val="00CE469C"/>
    <w:rsid w:val="00CE68A8"/>
    <w:rsid w:val="00CE7B7E"/>
    <w:rsid w:val="00CF2CF2"/>
    <w:rsid w:val="00D0159D"/>
    <w:rsid w:val="00D04E0A"/>
    <w:rsid w:val="00D06A61"/>
    <w:rsid w:val="00D07411"/>
    <w:rsid w:val="00D12FB9"/>
    <w:rsid w:val="00D13EE8"/>
    <w:rsid w:val="00D1406E"/>
    <w:rsid w:val="00D157E0"/>
    <w:rsid w:val="00D20493"/>
    <w:rsid w:val="00D20518"/>
    <w:rsid w:val="00D20583"/>
    <w:rsid w:val="00D20E74"/>
    <w:rsid w:val="00D21CF8"/>
    <w:rsid w:val="00D307C2"/>
    <w:rsid w:val="00D32E19"/>
    <w:rsid w:val="00D35E8B"/>
    <w:rsid w:val="00D36AE1"/>
    <w:rsid w:val="00D37F04"/>
    <w:rsid w:val="00D44711"/>
    <w:rsid w:val="00D46355"/>
    <w:rsid w:val="00D4648A"/>
    <w:rsid w:val="00D50146"/>
    <w:rsid w:val="00D5786B"/>
    <w:rsid w:val="00D632F1"/>
    <w:rsid w:val="00D6581A"/>
    <w:rsid w:val="00D66347"/>
    <w:rsid w:val="00D75547"/>
    <w:rsid w:val="00D817FA"/>
    <w:rsid w:val="00D8418B"/>
    <w:rsid w:val="00D85C37"/>
    <w:rsid w:val="00D86395"/>
    <w:rsid w:val="00D9347F"/>
    <w:rsid w:val="00D958C6"/>
    <w:rsid w:val="00DA2F36"/>
    <w:rsid w:val="00DB1CEC"/>
    <w:rsid w:val="00DC5976"/>
    <w:rsid w:val="00DC7112"/>
    <w:rsid w:val="00DD04CC"/>
    <w:rsid w:val="00DE0BF4"/>
    <w:rsid w:val="00DE14FB"/>
    <w:rsid w:val="00DE1F60"/>
    <w:rsid w:val="00DE5E09"/>
    <w:rsid w:val="00DF128E"/>
    <w:rsid w:val="00DF7762"/>
    <w:rsid w:val="00E02B6C"/>
    <w:rsid w:val="00E2290F"/>
    <w:rsid w:val="00E252E3"/>
    <w:rsid w:val="00E257A2"/>
    <w:rsid w:val="00E32A2C"/>
    <w:rsid w:val="00E336E2"/>
    <w:rsid w:val="00E36817"/>
    <w:rsid w:val="00E400BB"/>
    <w:rsid w:val="00E41B5C"/>
    <w:rsid w:val="00E50C6F"/>
    <w:rsid w:val="00E515B9"/>
    <w:rsid w:val="00E53F65"/>
    <w:rsid w:val="00E63E7F"/>
    <w:rsid w:val="00E7743E"/>
    <w:rsid w:val="00E808F4"/>
    <w:rsid w:val="00E80B61"/>
    <w:rsid w:val="00E85401"/>
    <w:rsid w:val="00E8657B"/>
    <w:rsid w:val="00E914A6"/>
    <w:rsid w:val="00E96199"/>
    <w:rsid w:val="00EA63BF"/>
    <w:rsid w:val="00EA7AF0"/>
    <w:rsid w:val="00EB161B"/>
    <w:rsid w:val="00EB21EC"/>
    <w:rsid w:val="00EB36C1"/>
    <w:rsid w:val="00EB3FED"/>
    <w:rsid w:val="00EB44E1"/>
    <w:rsid w:val="00EC2D03"/>
    <w:rsid w:val="00ED3945"/>
    <w:rsid w:val="00EE0C28"/>
    <w:rsid w:val="00EE149D"/>
    <w:rsid w:val="00EE1DD3"/>
    <w:rsid w:val="00EE3113"/>
    <w:rsid w:val="00EE3816"/>
    <w:rsid w:val="00EE7381"/>
    <w:rsid w:val="00EF19F2"/>
    <w:rsid w:val="00EF37CC"/>
    <w:rsid w:val="00EF48AD"/>
    <w:rsid w:val="00EF62D0"/>
    <w:rsid w:val="00EF79FF"/>
    <w:rsid w:val="00F02374"/>
    <w:rsid w:val="00F070B2"/>
    <w:rsid w:val="00F11BAE"/>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51FB"/>
    <w:rsid w:val="00FB613A"/>
    <w:rsid w:val="00FB64D7"/>
    <w:rsid w:val="00FB7AB2"/>
    <w:rsid w:val="00FC1D6B"/>
    <w:rsid w:val="00FC51A5"/>
    <w:rsid w:val="00FC7D7D"/>
    <w:rsid w:val="00FD3228"/>
    <w:rsid w:val="00FD3B25"/>
    <w:rsid w:val="00FE1370"/>
    <w:rsid w:val="00FE4CE4"/>
    <w:rsid w:val="00FE64F2"/>
    <w:rsid w:val="00FF52AD"/>
    <w:rsid w:val="05144848"/>
    <w:rsid w:val="0B61786D"/>
    <w:rsid w:val="122E19F2"/>
    <w:rsid w:val="1A896419"/>
    <w:rsid w:val="1B7B5DC0"/>
    <w:rsid w:val="22433DF5"/>
    <w:rsid w:val="264E2675"/>
    <w:rsid w:val="271B5058"/>
    <w:rsid w:val="2CFA3D64"/>
    <w:rsid w:val="2EA176E4"/>
    <w:rsid w:val="2F24031E"/>
    <w:rsid w:val="3BC53D48"/>
    <w:rsid w:val="3FCE4F32"/>
    <w:rsid w:val="441B2C99"/>
    <w:rsid w:val="49A67E87"/>
    <w:rsid w:val="50F93C9E"/>
    <w:rsid w:val="514C68C2"/>
    <w:rsid w:val="54BD3EDF"/>
    <w:rsid w:val="55FA49F5"/>
    <w:rsid w:val="62A277A2"/>
    <w:rsid w:val="651A0D6E"/>
    <w:rsid w:val="67694C5E"/>
    <w:rsid w:val="6ADA292B"/>
    <w:rsid w:val="6C7449EF"/>
    <w:rsid w:val="6CFF48AF"/>
    <w:rsid w:val="70D43728"/>
    <w:rsid w:val="71741E0E"/>
    <w:rsid w:val="71D02369"/>
    <w:rsid w:val="761524F2"/>
    <w:rsid w:val="7A020D09"/>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99" w:name="List"/>
    <w:lsdException w:uiPriority="99" w:name="List Bullet"/>
    <w:lsdException w:uiPriority="99" w:name="List Number"/>
    <w:lsdException w:uiPriority="99"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1" w:semiHidden="0" w:name="No Spacing"/>
    <w:lsdException w:qFormat="1" w:unhideWhenUsed="0" w:uiPriority="34" w:semiHidden="0" w:name="List Paragraph"/>
    <w:lsdException w:qFormat="1" w:unhideWhenUsed="0" w:uiPriority="29" w:semiHidden="0" w:name="Quote"/>
    <w:lsdException w:qFormat="1" w:unhideWhenUsed="0" w:uiPriority="30" w:semiHidden="0" w:name="Intense Quote"/>
  </w:latentStyles>
  <w:style w:type="paragraph" w:default="1" w:styleId="1">
    <w:name w:val="Normal"/>
    <w:qFormat/>
    <w:uiPriority w:val="0"/>
    <w:pPr>
      <w:spacing w:line="276" w:lineRule="auto"/>
      <w:jc w:val="both"/>
    </w:pPr>
    <w:rPr>
      <w:rFonts w:ascii="Calibri" w:hAnsi="Calibri" w:eastAsia="Calibri" w:cs="Calibri"/>
      <w:sz w:val="22"/>
      <w:szCs w:val="22"/>
      <w:lang w:val="es-MX" w:eastAsia="es-MX" w:bidi="ar-SA"/>
    </w:rPr>
  </w:style>
  <w:style w:type="paragraph" w:styleId="2">
    <w:name w:val="heading 1"/>
    <w:basedOn w:val="1"/>
    <w:next w:val="1"/>
    <w:link w:val="32"/>
    <w:qFormat/>
    <w:uiPriority w:val="9"/>
    <w:pPr>
      <w:keepNext/>
      <w:keepLines/>
      <w:spacing w:before="480" w:after="0"/>
      <w:outlineLvl w:val="0"/>
    </w:pPr>
    <w:rPr>
      <w:rFonts w:asciiTheme="majorHAnsi" w:hAnsiTheme="majorHAnsi" w:eastAsiaTheme="majorEastAsia" w:cstheme="majorBidi"/>
      <w:b/>
      <w:bCs/>
      <w:color w:val="376092" w:themeColor="accent1" w:themeShade="BF"/>
      <w:sz w:val="28"/>
      <w:szCs w:val="28"/>
    </w:rPr>
  </w:style>
  <w:style w:type="paragraph" w:styleId="3">
    <w:name w:val="heading 2"/>
    <w:basedOn w:val="1"/>
    <w:link w:val="33"/>
    <w:unhideWhenUsed/>
    <w:qFormat/>
    <w:uiPriority w:val="9"/>
    <w:pPr>
      <w:spacing w:before="100" w:beforeAutospacing="1" w:after="100" w:afterAutospacing="1" w:line="240" w:lineRule="auto"/>
      <w:outlineLvl w:val="1"/>
    </w:pPr>
    <w:rPr>
      <w:rFonts w:ascii="Times New Roman" w:hAnsi="Times New Roman" w:eastAsia="Times New Roman" w:cs="Times New Roman"/>
      <w:b/>
      <w:bCs/>
      <w:sz w:val="36"/>
      <w:szCs w:val="36"/>
    </w:rPr>
  </w:style>
  <w:style w:type="paragraph" w:styleId="4">
    <w:name w:val="heading 3"/>
    <w:basedOn w:val="1"/>
    <w:next w:val="1"/>
    <w:link w:val="34"/>
    <w:semiHidden/>
    <w:unhideWhenUsed/>
    <w:qFormat/>
    <w:uiPriority w:val="9"/>
    <w:pPr>
      <w:keepNext/>
      <w:keepLines/>
      <w:spacing w:before="200" w:after="0"/>
      <w:outlineLvl w:val="2"/>
    </w:pPr>
    <w:rPr>
      <w:rFonts w:asciiTheme="majorHAnsi" w:hAnsiTheme="majorHAnsi" w:eastAsiaTheme="majorEastAsia" w:cstheme="majorBidi"/>
      <w:b/>
      <w:bCs/>
      <w:color w:val="4F81BD" w:themeColor="accent1"/>
      <w14:textFill>
        <w14:solidFill>
          <w14:schemeClr w14:val="accent1"/>
        </w14:solidFill>
      </w14:textFill>
    </w:rPr>
  </w:style>
  <w:style w:type="paragraph" w:styleId="5">
    <w:name w:val="heading 4"/>
    <w:basedOn w:val="1"/>
    <w:next w:val="1"/>
    <w:link w:val="100"/>
    <w:semiHidden/>
    <w:unhideWhenUsed/>
    <w:qFormat/>
    <w:uiPriority w:val="9"/>
    <w:pPr>
      <w:keepNext/>
      <w:keepLines/>
      <w:spacing w:before="200" w:after="0"/>
      <w:outlineLvl w:val="3"/>
    </w:pPr>
    <w:rPr>
      <w:rFonts w:ascii="Calibri Light" w:hAnsi="Calibri Light" w:eastAsia="Times New Roman" w:cs="Times New Roman"/>
      <w:color w:val="70AD47"/>
    </w:rPr>
  </w:style>
  <w:style w:type="paragraph" w:styleId="6">
    <w:name w:val="heading 5"/>
    <w:basedOn w:val="1"/>
    <w:next w:val="1"/>
    <w:link w:val="101"/>
    <w:semiHidden/>
    <w:unhideWhenUsed/>
    <w:qFormat/>
    <w:uiPriority w:val="9"/>
    <w:pPr>
      <w:keepNext/>
      <w:keepLines/>
      <w:spacing w:before="200" w:after="0"/>
      <w:outlineLvl w:val="4"/>
    </w:pPr>
    <w:rPr>
      <w:rFonts w:ascii="Calibri Light" w:hAnsi="Calibri Light" w:eastAsia="Times New Roman" w:cs="Times New Roman"/>
      <w:i/>
      <w:iCs/>
      <w:color w:val="70AD47"/>
    </w:rPr>
  </w:style>
  <w:style w:type="paragraph" w:styleId="7">
    <w:name w:val="heading 6"/>
    <w:basedOn w:val="1"/>
    <w:next w:val="1"/>
    <w:link w:val="102"/>
    <w:semiHidden/>
    <w:unhideWhenUsed/>
    <w:qFormat/>
    <w:uiPriority w:val="9"/>
    <w:pPr>
      <w:keepNext/>
      <w:keepLines/>
      <w:spacing w:before="200" w:after="0"/>
      <w:outlineLvl w:val="5"/>
    </w:pPr>
    <w:rPr>
      <w:rFonts w:ascii="Calibri Light" w:hAnsi="Calibri Light" w:eastAsia="Times New Roman" w:cs="Times New Roman"/>
      <w:color w:val="70AD47"/>
    </w:rPr>
  </w:style>
  <w:style w:type="paragraph" w:styleId="8">
    <w:name w:val="heading 7"/>
    <w:basedOn w:val="1"/>
    <w:next w:val="1"/>
    <w:link w:val="103"/>
    <w:semiHidden/>
    <w:unhideWhenUsed/>
    <w:qFormat/>
    <w:uiPriority w:val="9"/>
    <w:pPr>
      <w:keepNext/>
      <w:keepLines/>
      <w:spacing w:before="200" w:after="0"/>
      <w:outlineLvl w:val="6"/>
    </w:pPr>
    <w:rPr>
      <w:rFonts w:ascii="Calibri Light" w:hAnsi="Calibri Light" w:eastAsia="Times New Roman" w:cs="Times New Roman"/>
      <w:b/>
      <w:bCs/>
      <w:color w:val="70AD47"/>
    </w:rPr>
  </w:style>
  <w:style w:type="paragraph" w:styleId="9">
    <w:name w:val="heading 8"/>
    <w:basedOn w:val="1"/>
    <w:next w:val="1"/>
    <w:link w:val="104"/>
    <w:semiHidden/>
    <w:unhideWhenUsed/>
    <w:qFormat/>
    <w:uiPriority w:val="9"/>
    <w:pPr>
      <w:keepNext/>
      <w:keepLines/>
      <w:spacing w:before="200" w:after="0"/>
      <w:outlineLvl w:val="7"/>
    </w:pPr>
    <w:rPr>
      <w:rFonts w:ascii="Calibri Light" w:hAnsi="Calibri Light" w:eastAsia="Times New Roman" w:cs="Times New Roman"/>
      <w:b/>
      <w:bCs/>
      <w:i/>
      <w:iCs/>
      <w:color w:val="70AD47"/>
      <w:sz w:val="20"/>
      <w:szCs w:val="20"/>
    </w:rPr>
  </w:style>
  <w:style w:type="paragraph" w:styleId="10">
    <w:name w:val="heading 9"/>
    <w:basedOn w:val="1"/>
    <w:next w:val="1"/>
    <w:link w:val="105"/>
    <w:semiHidden/>
    <w:unhideWhenUsed/>
    <w:qFormat/>
    <w:uiPriority w:val="9"/>
    <w:pPr>
      <w:keepNext/>
      <w:keepLines/>
      <w:spacing w:before="200" w:after="0"/>
      <w:outlineLvl w:val="8"/>
    </w:pPr>
    <w:rPr>
      <w:rFonts w:ascii="Calibri Light" w:hAnsi="Calibri Light" w:eastAsia="Times New Roman" w:cs="Times New Roman"/>
      <w:i/>
      <w:iCs/>
      <w:color w:val="70AD47"/>
      <w:sz w:val="20"/>
      <w:szCs w:val="20"/>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character" w:styleId="13">
    <w:name w:val="annotation reference"/>
    <w:basedOn w:val="11"/>
    <w:semiHidden/>
    <w:unhideWhenUsed/>
    <w:qFormat/>
    <w:uiPriority w:val="99"/>
    <w:rPr>
      <w:sz w:val="16"/>
      <w:szCs w:val="16"/>
    </w:rPr>
  </w:style>
  <w:style w:type="character" w:styleId="14">
    <w:name w:val="Emphasis"/>
    <w:basedOn w:val="11"/>
    <w:qFormat/>
    <w:uiPriority w:val="20"/>
    <w:rPr>
      <w:i/>
      <w:iCs/>
    </w:rPr>
  </w:style>
  <w:style w:type="character" w:styleId="15">
    <w:name w:val="Hyperlink"/>
    <w:qFormat/>
    <w:uiPriority w:val="99"/>
    <w:rPr>
      <w:color w:val="0000FF"/>
      <w:u w:val="single"/>
    </w:rPr>
  </w:style>
  <w:style w:type="character" w:styleId="16">
    <w:name w:val="FollowedHyperlink"/>
    <w:basedOn w:val="11"/>
    <w:semiHidden/>
    <w:unhideWhenUsed/>
    <w:qFormat/>
    <w:uiPriority w:val="99"/>
    <w:rPr>
      <w:color w:val="800080"/>
      <w:u w:val="single"/>
    </w:rPr>
  </w:style>
  <w:style w:type="character" w:styleId="17">
    <w:name w:val="Strong"/>
    <w:basedOn w:val="11"/>
    <w:qFormat/>
    <w:uiPriority w:val="22"/>
    <w:rPr>
      <w:b/>
      <w:bCs/>
    </w:rPr>
  </w:style>
  <w:style w:type="paragraph" w:styleId="18">
    <w:name w:val="toc 1"/>
    <w:basedOn w:val="1"/>
    <w:next w:val="1"/>
    <w:autoRedefine/>
    <w:qFormat/>
    <w:uiPriority w:val="0"/>
    <w:pPr>
      <w:spacing w:after="0" w:line="240" w:lineRule="auto"/>
      <w:jc w:val="both"/>
    </w:pPr>
    <w:rPr>
      <w:rFonts w:ascii="Arial" w:hAnsi="Arial" w:eastAsia="Times New Roman" w:cs="Arial"/>
      <w:lang w:eastAsia="es-ES"/>
    </w:rPr>
  </w:style>
  <w:style w:type="paragraph" w:styleId="19">
    <w:name w:val="annotation subject"/>
    <w:basedOn w:val="20"/>
    <w:next w:val="20"/>
    <w:link w:val="135"/>
    <w:semiHidden/>
    <w:unhideWhenUsed/>
    <w:qFormat/>
    <w:uiPriority w:val="99"/>
    <w:rPr>
      <w:b/>
      <w:bCs/>
    </w:rPr>
  </w:style>
  <w:style w:type="paragraph" w:styleId="20">
    <w:name w:val="annotation text"/>
    <w:basedOn w:val="1"/>
    <w:link w:val="147"/>
    <w:semiHidden/>
    <w:unhideWhenUsed/>
    <w:qFormat/>
    <w:uiPriority w:val="99"/>
    <w:pPr>
      <w:spacing w:line="240" w:lineRule="auto"/>
    </w:pPr>
    <w:rPr>
      <w:sz w:val="20"/>
      <w:szCs w:val="20"/>
    </w:rPr>
  </w:style>
  <w:style w:type="paragraph" w:styleId="21">
    <w:name w:val="Balloon Text"/>
    <w:basedOn w:val="1"/>
    <w:link w:val="43"/>
    <w:semiHidden/>
    <w:unhideWhenUsed/>
    <w:qFormat/>
    <w:uiPriority w:val="99"/>
    <w:pPr>
      <w:spacing w:after="0" w:line="240" w:lineRule="auto"/>
    </w:pPr>
    <w:rPr>
      <w:rFonts w:ascii="Tahoma" w:hAnsi="Tahoma" w:cs="Tahoma"/>
      <w:sz w:val="16"/>
      <w:szCs w:val="16"/>
    </w:rPr>
  </w:style>
  <w:style w:type="paragraph" w:styleId="22">
    <w:name w:val="List Continue 4"/>
    <w:basedOn w:val="1"/>
    <w:qFormat/>
    <w:uiPriority w:val="0"/>
    <w:pPr>
      <w:spacing w:after="120" w:line="240" w:lineRule="auto"/>
      <w:ind w:left="1132"/>
    </w:pPr>
    <w:rPr>
      <w:rFonts w:ascii="Times New Roman" w:hAnsi="Times New Roman" w:eastAsia="Times New Roman" w:cs="Times New Roman"/>
      <w:sz w:val="20"/>
      <w:szCs w:val="20"/>
      <w:lang w:val="es-ES" w:eastAsia="es-ES"/>
    </w:rPr>
  </w:style>
  <w:style w:type="paragraph" w:styleId="23">
    <w:name w:val="List 3"/>
    <w:basedOn w:val="1"/>
    <w:qFormat/>
    <w:uiPriority w:val="0"/>
    <w:pPr>
      <w:spacing w:after="0" w:line="240" w:lineRule="auto"/>
      <w:ind w:left="849" w:hanging="283"/>
      <w:contextualSpacing/>
    </w:pPr>
    <w:rPr>
      <w:rFonts w:ascii="Times New Roman" w:hAnsi="Times New Roman" w:eastAsia="Times New Roman" w:cs="Times New Roman"/>
      <w:sz w:val="24"/>
      <w:szCs w:val="24"/>
      <w:lang w:val="es-ES" w:eastAsia="es-ES"/>
    </w:rPr>
  </w:style>
  <w:style w:type="paragraph" w:styleId="24">
    <w:name w:val="header"/>
    <w:basedOn w:val="1"/>
    <w:link w:val="37"/>
    <w:qFormat/>
    <w:uiPriority w:val="99"/>
    <w:pPr>
      <w:tabs>
        <w:tab w:val="center" w:pos="4252"/>
        <w:tab w:val="right" w:pos="8504"/>
      </w:tabs>
      <w:spacing w:after="0" w:line="240" w:lineRule="auto"/>
    </w:pPr>
    <w:rPr>
      <w:rFonts w:ascii="Times New Roman" w:hAnsi="Times New Roman" w:eastAsia="Times New Roman" w:cs="Times New Roman"/>
      <w:sz w:val="24"/>
      <w:szCs w:val="24"/>
      <w:lang w:val="es-ES" w:eastAsia="es-ES"/>
    </w:rPr>
  </w:style>
  <w:style w:type="paragraph" w:styleId="25">
    <w:name w:val="List"/>
    <w:basedOn w:val="1"/>
    <w:semiHidden/>
    <w:unhideWhenUsed/>
    <w:qFormat/>
    <w:uiPriority w:val="99"/>
    <w:pPr>
      <w:ind w:left="283" w:hanging="283"/>
      <w:contextualSpacing/>
    </w:pPr>
  </w:style>
  <w:style w:type="paragraph" w:styleId="26">
    <w:name w:val="Normal (Web)"/>
    <w:basedOn w:val="1"/>
    <w:semiHidden/>
    <w:unhideWhenUsed/>
    <w:qFormat/>
    <w:uiPriority w:val="99"/>
    <w:rPr>
      <w:rFonts w:ascii="Times New Roman" w:hAnsi="Times New Roman" w:cs="Times New Roman"/>
      <w:sz w:val="24"/>
      <w:szCs w:val="24"/>
    </w:rPr>
  </w:style>
  <w:style w:type="paragraph" w:styleId="27">
    <w:name w:val="footer"/>
    <w:basedOn w:val="1"/>
    <w:link w:val="36"/>
    <w:qFormat/>
    <w:uiPriority w:val="99"/>
    <w:pPr>
      <w:tabs>
        <w:tab w:val="center" w:pos="4252"/>
        <w:tab w:val="right" w:pos="8504"/>
      </w:tabs>
      <w:spacing w:after="0" w:line="240" w:lineRule="auto"/>
    </w:pPr>
    <w:rPr>
      <w:rFonts w:ascii="Times New Roman" w:hAnsi="Times New Roman" w:eastAsia="Times New Roman" w:cs="Times New Roman"/>
      <w:sz w:val="24"/>
      <w:szCs w:val="24"/>
      <w:lang w:val="es-ES" w:eastAsia="es-ES"/>
    </w:rPr>
  </w:style>
  <w:style w:type="paragraph" w:styleId="28">
    <w:name w:val="Subtitle"/>
    <w:basedOn w:val="1"/>
    <w:next w:val="1"/>
    <w:link w:val="113"/>
    <w:qFormat/>
    <w:uiPriority w:val="11"/>
    <w:rPr>
      <w:sz w:val="30"/>
      <w:szCs w:val="30"/>
    </w:rPr>
  </w:style>
  <w:style w:type="paragraph" w:styleId="29">
    <w:name w:val="Body Text"/>
    <w:basedOn w:val="1"/>
    <w:link w:val="35"/>
    <w:qFormat/>
    <w:uiPriority w:val="1"/>
    <w:pPr>
      <w:spacing w:after="0" w:line="240" w:lineRule="auto"/>
      <w:jc w:val="both"/>
    </w:pPr>
    <w:rPr>
      <w:rFonts w:ascii="Arial Narrow" w:hAnsi="Arial Narrow" w:eastAsia="Times New Roman" w:cs="Times New Roman"/>
      <w:sz w:val="24"/>
      <w:szCs w:val="20"/>
      <w:lang w:eastAsia="es-ES"/>
    </w:rPr>
  </w:style>
  <w:style w:type="paragraph" w:styleId="30">
    <w:name w:val="Title"/>
    <w:basedOn w:val="1"/>
    <w:link w:val="45"/>
    <w:qFormat/>
    <w:uiPriority w:val="10"/>
    <w:pPr>
      <w:widowControl w:val="0"/>
      <w:spacing w:after="0" w:line="360" w:lineRule="atLeast"/>
      <w:jc w:val="center"/>
    </w:pPr>
    <w:rPr>
      <w:rFonts w:ascii="Geneva" w:hAnsi="Geneva" w:eastAsia="Times New Roman" w:cs="Times New Roman"/>
      <w:b/>
      <w:szCs w:val="20"/>
      <w:lang w:val="es-ES" w:eastAsia="es-ES"/>
    </w:rPr>
  </w:style>
  <w:style w:type="table" w:styleId="31">
    <w:name w:val="Table Grid"/>
    <w:basedOn w:val="12"/>
    <w:qFormat/>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2">
    <w:name w:val="Título 1 Car"/>
    <w:basedOn w:val="11"/>
    <w:link w:val="2"/>
    <w:qFormat/>
    <w:uiPriority w:val="9"/>
    <w:rPr>
      <w:rFonts w:asciiTheme="majorHAnsi" w:hAnsiTheme="majorHAnsi" w:eastAsiaTheme="majorEastAsia" w:cstheme="majorBidi"/>
      <w:b/>
      <w:bCs/>
      <w:color w:val="376092" w:themeColor="accent1" w:themeShade="BF"/>
      <w:sz w:val="28"/>
      <w:szCs w:val="28"/>
    </w:rPr>
  </w:style>
  <w:style w:type="character" w:customStyle="1" w:styleId="33">
    <w:name w:val="Título 2 Car"/>
    <w:basedOn w:val="11"/>
    <w:link w:val="3"/>
    <w:qFormat/>
    <w:uiPriority w:val="9"/>
    <w:rPr>
      <w:rFonts w:ascii="Times New Roman" w:hAnsi="Times New Roman" w:eastAsia="Times New Roman" w:cs="Times New Roman"/>
      <w:b/>
      <w:bCs/>
      <w:sz w:val="36"/>
      <w:szCs w:val="36"/>
      <w:lang w:eastAsia="es-MX"/>
    </w:rPr>
  </w:style>
  <w:style w:type="character" w:customStyle="1" w:styleId="34">
    <w:name w:val="Título 3 Car"/>
    <w:basedOn w:val="11"/>
    <w:link w:val="4"/>
    <w:qFormat/>
    <w:uiPriority w:val="9"/>
    <w:rPr>
      <w:rFonts w:asciiTheme="majorHAnsi" w:hAnsiTheme="majorHAnsi" w:eastAsiaTheme="majorEastAsia" w:cstheme="majorBidi"/>
      <w:b/>
      <w:bCs/>
      <w:color w:val="4F81BD" w:themeColor="accent1"/>
      <w14:textFill>
        <w14:solidFill>
          <w14:schemeClr w14:val="accent1"/>
        </w14:solidFill>
      </w14:textFill>
    </w:rPr>
  </w:style>
  <w:style w:type="character" w:customStyle="1" w:styleId="35">
    <w:name w:val="Texto independiente Car"/>
    <w:basedOn w:val="11"/>
    <w:link w:val="29"/>
    <w:qFormat/>
    <w:uiPriority w:val="1"/>
    <w:rPr>
      <w:rFonts w:ascii="Arial Narrow" w:hAnsi="Arial Narrow" w:eastAsia="Times New Roman" w:cs="Times New Roman"/>
      <w:sz w:val="24"/>
      <w:szCs w:val="20"/>
      <w:lang w:eastAsia="es-ES"/>
    </w:rPr>
  </w:style>
  <w:style w:type="character" w:customStyle="1" w:styleId="36">
    <w:name w:val="Pie de página Car"/>
    <w:basedOn w:val="11"/>
    <w:link w:val="27"/>
    <w:qFormat/>
    <w:uiPriority w:val="99"/>
    <w:rPr>
      <w:rFonts w:ascii="Times New Roman" w:hAnsi="Times New Roman" w:eastAsia="Times New Roman" w:cs="Times New Roman"/>
      <w:sz w:val="24"/>
      <w:szCs w:val="24"/>
      <w:lang w:val="es-ES" w:eastAsia="es-ES"/>
    </w:rPr>
  </w:style>
  <w:style w:type="character" w:customStyle="1" w:styleId="37">
    <w:name w:val="Encabezado Car"/>
    <w:basedOn w:val="11"/>
    <w:link w:val="24"/>
    <w:qFormat/>
    <w:uiPriority w:val="99"/>
    <w:rPr>
      <w:rFonts w:ascii="Times New Roman" w:hAnsi="Times New Roman" w:eastAsia="Times New Roman" w:cs="Times New Roman"/>
      <w:sz w:val="24"/>
      <w:szCs w:val="24"/>
      <w:lang w:val="es-ES" w:eastAsia="es-ES"/>
    </w:rPr>
  </w:style>
  <w:style w:type="paragraph" w:customStyle="1" w:styleId="38">
    <w:name w:val="Sangría 2 de t. independiente1"/>
    <w:basedOn w:val="1"/>
    <w:qFormat/>
    <w:uiPriority w:val="0"/>
    <w:pPr>
      <w:overflowPunct w:val="0"/>
      <w:autoSpaceDE w:val="0"/>
      <w:autoSpaceDN w:val="0"/>
      <w:adjustRightInd w:val="0"/>
      <w:spacing w:before="100" w:after="0" w:line="240" w:lineRule="auto"/>
      <w:ind w:left="1985"/>
      <w:jc w:val="both"/>
      <w:textAlignment w:val="baseline"/>
    </w:pPr>
    <w:rPr>
      <w:rFonts w:ascii="Arial" w:hAnsi="Arial" w:eastAsia="Times New Roman" w:cs="Times New Roman"/>
      <w:szCs w:val="20"/>
      <w:lang w:val="es-ES"/>
    </w:rPr>
  </w:style>
  <w:style w:type="paragraph" w:styleId="39">
    <w:name w:val="List Paragraph"/>
    <w:basedOn w:val="1"/>
    <w:link w:val="40"/>
    <w:qFormat/>
    <w:uiPriority w:val="34"/>
    <w:pPr>
      <w:spacing w:after="0" w:line="240" w:lineRule="auto"/>
      <w:ind w:left="708"/>
    </w:pPr>
    <w:rPr>
      <w:rFonts w:ascii="Times New Roman" w:hAnsi="Times New Roman" w:eastAsia="Times New Roman" w:cs="Times New Roman"/>
      <w:sz w:val="24"/>
      <w:szCs w:val="24"/>
      <w:lang w:val="es-ES" w:eastAsia="es-ES"/>
    </w:rPr>
  </w:style>
  <w:style w:type="character" w:customStyle="1" w:styleId="40">
    <w:name w:val="Párrafo de lista Car"/>
    <w:link w:val="39"/>
    <w:qFormat/>
    <w:locked/>
    <w:uiPriority w:val="34"/>
    <w:rPr>
      <w:rFonts w:ascii="Times New Roman" w:hAnsi="Times New Roman" w:eastAsia="Times New Roman" w:cs="Times New Roman"/>
      <w:sz w:val="24"/>
      <w:szCs w:val="24"/>
      <w:lang w:val="es-ES" w:eastAsia="es-ES"/>
    </w:rPr>
  </w:style>
  <w:style w:type="paragraph" w:customStyle="1" w:styleId="41">
    <w:name w:val="Texto"/>
    <w:basedOn w:val="1"/>
    <w:link w:val="42"/>
    <w:qFormat/>
    <w:uiPriority w:val="0"/>
    <w:pPr>
      <w:spacing w:after="101" w:line="216" w:lineRule="exact"/>
      <w:ind w:firstLine="288"/>
      <w:jc w:val="both"/>
    </w:pPr>
    <w:rPr>
      <w:rFonts w:ascii="Arial" w:hAnsi="Arial" w:eastAsia="Times New Roman" w:cs="Arial"/>
      <w:sz w:val="18"/>
      <w:szCs w:val="20"/>
      <w:lang w:val="es-ES" w:eastAsia="es-ES"/>
    </w:rPr>
  </w:style>
  <w:style w:type="character" w:customStyle="1" w:styleId="42">
    <w:name w:val="Texto Car"/>
    <w:link w:val="41"/>
    <w:qFormat/>
    <w:uiPriority w:val="0"/>
    <w:rPr>
      <w:rFonts w:ascii="Arial" w:hAnsi="Arial" w:eastAsia="Times New Roman" w:cs="Arial"/>
      <w:sz w:val="18"/>
      <w:szCs w:val="20"/>
      <w:lang w:val="es-ES" w:eastAsia="es-ES"/>
    </w:rPr>
  </w:style>
  <w:style w:type="character" w:customStyle="1" w:styleId="43">
    <w:name w:val="Texto de globo Car"/>
    <w:basedOn w:val="11"/>
    <w:link w:val="21"/>
    <w:semiHidden/>
    <w:qFormat/>
    <w:uiPriority w:val="99"/>
    <w:rPr>
      <w:rFonts w:ascii="Tahoma" w:hAnsi="Tahoma" w:cs="Tahoma"/>
      <w:sz w:val="16"/>
      <w:szCs w:val="16"/>
    </w:rPr>
  </w:style>
  <w:style w:type="paragraph" w:styleId="44">
    <w:name w:val="No Spacing"/>
    <w:qFormat/>
    <w:uiPriority w:val="1"/>
    <w:pPr>
      <w:spacing w:after="0" w:line="240" w:lineRule="auto"/>
      <w:jc w:val="both"/>
    </w:pPr>
    <w:rPr>
      <w:rFonts w:ascii="Calibri" w:hAnsi="Calibri" w:eastAsia="Calibri" w:cs="Calibri"/>
      <w:sz w:val="22"/>
      <w:szCs w:val="22"/>
      <w:lang w:val="es-MX" w:eastAsia="es-MX" w:bidi="ar-SA"/>
    </w:rPr>
  </w:style>
  <w:style w:type="character" w:customStyle="1" w:styleId="45">
    <w:name w:val="Título Car"/>
    <w:basedOn w:val="11"/>
    <w:link w:val="30"/>
    <w:qFormat/>
    <w:uiPriority w:val="10"/>
    <w:rPr>
      <w:rFonts w:ascii="Geneva" w:hAnsi="Geneva" w:eastAsia="Times New Roman" w:cs="Times New Roman"/>
      <w:b/>
      <w:szCs w:val="20"/>
      <w:lang w:val="es-ES" w:eastAsia="es-ES"/>
    </w:rPr>
  </w:style>
  <w:style w:type="paragraph" w:customStyle="1" w:styleId="46">
    <w:name w:val="xl68"/>
    <w:basedOn w:val="1"/>
    <w:qFormat/>
    <w:uiPriority w:val="0"/>
    <w:pPr>
      <w:shd w:val="clear" w:color="000000" w:fill="FFFFFF"/>
      <w:spacing w:before="100" w:beforeAutospacing="1" w:after="100" w:afterAutospacing="1" w:line="240" w:lineRule="auto"/>
    </w:pPr>
    <w:rPr>
      <w:rFonts w:ascii="Times New Roman" w:hAnsi="Times New Roman" w:eastAsia="Times New Roman" w:cs="Times New Roman"/>
      <w:sz w:val="24"/>
      <w:szCs w:val="24"/>
    </w:rPr>
  </w:style>
  <w:style w:type="paragraph" w:customStyle="1" w:styleId="47">
    <w:name w:val="xl6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48">
    <w:name w:val="xl7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49">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0"/>
      <w:szCs w:val="20"/>
    </w:rPr>
  </w:style>
  <w:style w:type="paragraph" w:customStyle="1" w:styleId="50">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51">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right"/>
    </w:pPr>
    <w:rPr>
      <w:rFonts w:ascii="Times New Roman" w:hAnsi="Times New Roman" w:eastAsia="Times New Roman" w:cs="Times New Roman"/>
      <w:sz w:val="24"/>
      <w:szCs w:val="24"/>
    </w:rPr>
  </w:style>
  <w:style w:type="paragraph" w:customStyle="1" w:styleId="52">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53">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54">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55">
    <w:name w:val="xl7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56">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57">
    <w:name w:val="xl7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sz w:val="24"/>
      <w:szCs w:val="24"/>
    </w:rPr>
  </w:style>
  <w:style w:type="paragraph" w:customStyle="1" w:styleId="58">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sz w:val="24"/>
      <w:szCs w:val="24"/>
    </w:rPr>
  </w:style>
  <w:style w:type="paragraph" w:customStyle="1" w:styleId="59">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60">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b/>
      <w:bCs/>
      <w:sz w:val="24"/>
      <w:szCs w:val="24"/>
    </w:rPr>
  </w:style>
  <w:style w:type="paragraph" w:customStyle="1" w:styleId="61">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62">
    <w:name w:val="xl8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63">
    <w:name w:val="xl8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b/>
      <w:bCs/>
      <w:sz w:val="24"/>
      <w:szCs w:val="24"/>
    </w:rPr>
  </w:style>
  <w:style w:type="paragraph" w:customStyle="1" w:styleId="64">
    <w:name w:val="xl8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rFonts w:ascii="Times New Roman" w:hAnsi="Times New Roman" w:eastAsia="Times New Roman" w:cs="Times New Roman"/>
      <w:sz w:val="24"/>
      <w:szCs w:val="24"/>
    </w:rPr>
  </w:style>
  <w:style w:type="paragraph" w:customStyle="1" w:styleId="65">
    <w:name w:val="xl8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66">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b/>
      <w:bCs/>
      <w:sz w:val="24"/>
      <w:szCs w:val="24"/>
    </w:rPr>
  </w:style>
  <w:style w:type="paragraph" w:customStyle="1" w:styleId="67">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b/>
      <w:bCs/>
      <w:sz w:val="24"/>
      <w:szCs w:val="24"/>
    </w:rPr>
  </w:style>
  <w:style w:type="paragraph" w:customStyle="1" w:styleId="68">
    <w:name w:val="xl9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69">
    <w:name w:val="xl9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4"/>
      <w:szCs w:val="24"/>
    </w:rPr>
  </w:style>
  <w:style w:type="paragraph" w:customStyle="1" w:styleId="70">
    <w:name w:val="xl9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1">
    <w:name w:val="xl9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2">
    <w:name w:val="xl9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3">
    <w:name w:val="xl9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sz w:val="24"/>
      <w:szCs w:val="24"/>
    </w:rPr>
  </w:style>
  <w:style w:type="paragraph" w:customStyle="1" w:styleId="74">
    <w:name w:val="xl9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5">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76">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7">
    <w:name w:val="xl9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8">
    <w:name w:val="xl10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79">
    <w:name w:val="xl101"/>
    <w:basedOn w:val="1"/>
    <w:qFormat/>
    <w:uiPriority w:val="0"/>
    <w:pP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80">
    <w:name w:val="xl10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sz w:val="24"/>
      <w:szCs w:val="24"/>
    </w:rPr>
  </w:style>
  <w:style w:type="paragraph" w:customStyle="1" w:styleId="81">
    <w:name w:val="xl10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82">
    <w:name w:val="xl10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customStyle="1" w:styleId="83">
    <w:name w:val="xl10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4">
    <w:name w:val="xl10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5">
    <w:name w:val="xl10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6">
    <w:name w:val="xl1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Times New Roman" w:hAnsi="Times New Roman" w:eastAsia="Times New Roman" w:cs="Times New Roman"/>
      <w:sz w:val="24"/>
      <w:szCs w:val="24"/>
    </w:rPr>
  </w:style>
  <w:style w:type="paragraph" w:customStyle="1" w:styleId="87">
    <w:name w:val="xl1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Arial" w:hAnsi="Arial" w:eastAsia="Times New Roman" w:cs="Arial"/>
      <w:sz w:val="20"/>
      <w:szCs w:val="20"/>
    </w:rPr>
  </w:style>
  <w:style w:type="paragraph" w:customStyle="1" w:styleId="88">
    <w:name w:val="xl110"/>
    <w:basedOn w:val="1"/>
    <w:qFormat/>
    <w:uiPriority w:val="0"/>
    <w:pPr>
      <w:spacing w:before="100" w:beforeAutospacing="1" w:after="100" w:afterAutospacing="1" w:line="240" w:lineRule="auto"/>
      <w:jc w:val="center"/>
    </w:pPr>
    <w:rPr>
      <w:rFonts w:ascii="Times New Roman" w:hAnsi="Times New Roman" w:eastAsia="Times New Roman" w:cs="Times New Roman"/>
      <w:sz w:val="24"/>
      <w:szCs w:val="24"/>
    </w:rPr>
  </w:style>
  <w:style w:type="table" w:customStyle="1" w:styleId="89">
    <w:name w:val="Tabla con cuadrícula1"/>
    <w:basedOn w:val="12"/>
    <w:qFormat/>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0">
    <w:name w:val="Contenido de la tabla"/>
    <w:basedOn w:val="1"/>
    <w:qFormat/>
    <w:uiPriority w:val="0"/>
    <w:pPr>
      <w:suppressLineNumbers/>
      <w:suppressAutoHyphens/>
      <w:spacing w:after="0" w:line="240" w:lineRule="auto"/>
    </w:pPr>
    <w:rPr>
      <w:rFonts w:ascii="Times New Roman" w:hAnsi="Times New Roman" w:eastAsia="Times New Roman" w:cs="Times New Roman"/>
      <w:sz w:val="24"/>
      <w:szCs w:val="24"/>
      <w:lang w:val="es-ES" w:eastAsia="ar-SA"/>
    </w:rPr>
  </w:style>
  <w:style w:type="table" w:customStyle="1" w:styleId="91">
    <w:name w:val="Tabla con cuadrícula2"/>
    <w:basedOn w:val="12"/>
    <w:qFormat/>
    <w:uiPriority w:val="59"/>
    <w:pPr>
      <w:spacing w:after="0" w:line="240" w:lineRule="auto"/>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
    <w:name w:val="Tabla con cuadrícula3"/>
    <w:basedOn w:val="12"/>
    <w:qFormat/>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
    <w:name w:val="Tabla con cuadrícula4"/>
    <w:basedOn w:val="12"/>
    <w:qFormat/>
    <w:uiPriority w:val="39"/>
    <w:pPr>
      <w:spacing w:after="0" w:line="240" w:lineRule="auto"/>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4">
    <w:name w:val="Título 41"/>
    <w:basedOn w:val="1"/>
    <w:next w:val="1"/>
    <w:semiHidden/>
    <w:unhideWhenUsed/>
    <w:qFormat/>
    <w:uiPriority w:val="9"/>
    <w:pPr>
      <w:keepNext/>
      <w:keepLines/>
      <w:spacing w:before="80" w:after="0" w:line="288" w:lineRule="auto"/>
      <w:outlineLvl w:val="3"/>
    </w:pPr>
    <w:rPr>
      <w:rFonts w:ascii="Calibri Light" w:hAnsi="Calibri Light" w:eastAsia="Times New Roman" w:cs="Times New Roman"/>
      <w:color w:val="70AD47"/>
      <w:lang w:val="en-US"/>
    </w:rPr>
  </w:style>
  <w:style w:type="paragraph" w:customStyle="1" w:styleId="95">
    <w:name w:val="Título 51"/>
    <w:basedOn w:val="1"/>
    <w:next w:val="1"/>
    <w:semiHidden/>
    <w:unhideWhenUsed/>
    <w:qFormat/>
    <w:uiPriority w:val="9"/>
    <w:pPr>
      <w:keepNext/>
      <w:keepLines/>
      <w:spacing w:before="40" w:after="0" w:line="288" w:lineRule="auto"/>
      <w:outlineLvl w:val="4"/>
    </w:pPr>
    <w:rPr>
      <w:rFonts w:ascii="Calibri Light" w:hAnsi="Calibri Light" w:eastAsia="Times New Roman" w:cs="Times New Roman"/>
      <w:i/>
      <w:iCs/>
      <w:color w:val="70AD47"/>
      <w:lang w:val="en-US"/>
    </w:rPr>
  </w:style>
  <w:style w:type="paragraph" w:customStyle="1" w:styleId="96">
    <w:name w:val="Título 61"/>
    <w:basedOn w:val="1"/>
    <w:next w:val="1"/>
    <w:semiHidden/>
    <w:unhideWhenUsed/>
    <w:qFormat/>
    <w:uiPriority w:val="9"/>
    <w:pPr>
      <w:keepNext/>
      <w:keepLines/>
      <w:spacing w:before="40" w:after="0" w:line="288" w:lineRule="auto"/>
      <w:outlineLvl w:val="5"/>
    </w:pPr>
    <w:rPr>
      <w:rFonts w:ascii="Calibri Light" w:hAnsi="Calibri Light" w:eastAsia="Times New Roman" w:cs="Times New Roman"/>
      <w:color w:val="70AD47"/>
      <w:sz w:val="21"/>
      <w:szCs w:val="21"/>
      <w:lang w:val="en-US"/>
    </w:rPr>
  </w:style>
  <w:style w:type="paragraph" w:customStyle="1" w:styleId="97">
    <w:name w:val="Título 71"/>
    <w:basedOn w:val="1"/>
    <w:next w:val="1"/>
    <w:semiHidden/>
    <w:unhideWhenUsed/>
    <w:qFormat/>
    <w:uiPriority w:val="9"/>
    <w:pPr>
      <w:keepNext/>
      <w:keepLines/>
      <w:spacing w:before="40" w:after="0" w:line="288" w:lineRule="auto"/>
      <w:outlineLvl w:val="6"/>
    </w:pPr>
    <w:rPr>
      <w:rFonts w:ascii="Calibri Light" w:hAnsi="Calibri Light" w:eastAsia="Times New Roman" w:cs="Times New Roman"/>
      <w:b/>
      <w:bCs/>
      <w:color w:val="70AD47"/>
      <w:sz w:val="21"/>
      <w:szCs w:val="21"/>
      <w:lang w:val="en-US"/>
    </w:rPr>
  </w:style>
  <w:style w:type="paragraph" w:customStyle="1" w:styleId="98">
    <w:name w:val="Título 81"/>
    <w:basedOn w:val="1"/>
    <w:next w:val="1"/>
    <w:semiHidden/>
    <w:unhideWhenUsed/>
    <w:qFormat/>
    <w:uiPriority w:val="9"/>
    <w:pPr>
      <w:keepNext/>
      <w:keepLines/>
      <w:spacing w:before="40" w:after="0" w:line="288" w:lineRule="auto"/>
      <w:outlineLvl w:val="7"/>
    </w:pPr>
    <w:rPr>
      <w:rFonts w:ascii="Calibri Light" w:hAnsi="Calibri Light" w:eastAsia="Times New Roman" w:cs="Times New Roman"/>
      <w:b/>
      <w:bCs/>
      <w:i/>
      <w:iCs/>
      <w:color w:val="70AD47"/>
      <w:sz w:val="20"/>
      <w:szCs w:val="20"/>
      <w:lang w:val="en-US"/>
    </w:rPr>
  </w:style>
  <w:style w:type="paragraph" w:customStyle="1" w:styleId="99">
    <w:name w:val="Título 91"/>
    <w:basedOn w:val="1"/>
    <w:next w:val="1"/>
    <w:semiHidden/>
    <w:unhideWhenUsed/>
    <w:qFormat/>
    <w:uiPriority w:val="9"/>
    <w:pPr>
      <w:keepNext/>
      <w:keepLines/>
      <w:spacing w:before="40" w:after="0" w:line="288" w:lineRule="auto"/>
      <w:outlineLvl w:val="8"/>
    </w:pPr>
    <w:rPr>
      <w:rFonts w:ascii="Calibri Light" w:hAnsi="Calibri Light" w:eastAsia="Times New Roman" w:cs="Times New Roman"/>
      <w:i/>
      <w:iCs/>
      <w:color w:val="70AD47"/>
      <w:sz w:val="20"/>
      <w:szCs w:val="20"/>
      <w:lang w:val="en-US"/>
    </w:rPr>
  </w:style>
  <w:style w:type="character" w:customStyle="1" w:styleId="100">
    <w:name w:val="Título 4 Car"/>
    <w:basedOn w:val="11"/>
    <w:link w:val="5"/>
    <w:qFormat/>
    <w:uiPriority w:val="9"/>
    <w:rPr>
      <w:rFonts w:ascii="Calibri Light" w:hAnsi="Calibri Light" w:eastAsia="Times New Roman" w:cs="Times New Roman"/>
      <w:color w:val="70AD47"/>
      <w:sz w:val="22"/>
      <w:szCs w:val="22"/>
    </w:rPr>
  </w:style>
  <w:style w:type="character" w:customStyle="1" w:styleId="101">
    <w:name w:val="Título 5 Car"/>
    <w:basedOn w:val="11"/>
    <w:link w:val="6"/>
    <w:semiHidden/>
    <w:qFormat/>
    <w:uiPriority w:val="9"/>
    <w:rPr>
      <w:rFonts w:ascii="Calibri Light" w:hAnsi="Calibri Light" w:eastAsia="Times New Roman" w:cs="Times New Roman"/>
      <w:i/>
      <w:iCs/>
      <w:color w:val="70AD47"/>
      <w:sz w:val="22"/>
      <w:szCs w:val="22"/>
    </w:rPr>
  </w:style>
  <w:style w:type="character" w:customStyle="1" w:styleId="102">
    <w:name w:val="Título 6 Car"/>
    <w:basedOn w:val="11"/>
    <w:link w:val="7"/>
    <w:semiHidden/>
    <w:qFormat/>
    <w:uiPriority w:val="9"/>
    <w:rPr>
      <w:rFonts w:ascii="Calibri Light" w:hAnsi="Calibri Light" w:eastAsia="Times New Roman" w:cs="Times New Roman"/>
      <w:color w:val="70AD47"/>
    </w:rPr>
  </w:style>
  <w:style w:type="character" w:customStyle="1" w:styleId="103">
    <w:name w:val="Título 7 Car"/>
    <w:basedOn w:val="11"/>
    <w:link w:val="8"/>
    <w:semiHidden/>
    <w:qFormat/>
    <w:uiPriority w:val="9"/>
    <w:rPr>
      <w:rFonts w:ascii="Calibri Light" w:hAnsi="Calibri Light" w:eastAsia="Times New Roman" w:cs="Times New Roman"/>
      <w:b/>
      <w:bCs/>
      <w:color w:val="70AD47"/>
    </w:rPr>
  </w:style>
  <w:style w:type="character" w:customStyle="1" w:styleId="104">
    <w:name w:val="Título 8 Car"/>
    <w:basedOn w:val="11"/>
    <w:link w:val="9"/>
    <w:semiHidden/>
    <w:qFormat/>
    <w:uiPriority w:val="9"/>
    <w:rPr>
      <w:rFonts w:ascii="Calibri Light" w:hAnsi="Calibri Light" w:eastAsia="Times New Roman" w:cs="Times New Roman"/>
      <w:b/>
      <w:bCs/>
      <w:i/>
      <w:iCs/>
      <w:color w:val="70AD47"/>
      <w:sz w:val="20"/>
      <w:szCs w:val="20"/>
    </w:rPr>
  </w:style>
  <w:style w:type="character" w:customStyle="1" w:styleId="105">
    <w:name w:val="Título 9 Car"/>
    <w:basedOn w:val="11"/>
    <w:link w:val="10"/>
    <w:semiHidden/>
    <w:qFormat/>
    <w:uiPriority w:val="9"/>
    <w:rPr>
      <w:rFonts w:ascii="Calibri Light" w:hAnsi="Calibri Light" w:eastAsia="Times New Roman" w:cs="Times New Roman"/>
      <w:i/>
      <w:iCs/>
      <w:color w:val="70AD47"/>
      <w:sz w:val="20"/>
      <w:szCs w:val="20"/>
    </w:rPr>
  </w:style>
  <w:style w:type="paragraph" w:customStyle="1" w:styleId="106">
    <w:name w:val="Default"/>
    <w:basedOn w:val="1"/>
    <w:qFormat/>
    <w:uiPriority w:val="0"/>
    <w:pPr>
      <w:autoSpaceDE w:val="0"/>
      <w:autoSpaceDN w:val="0"/>
      <w:spacing w:line="288" w:lineRule="auto"/>
    </w:pPr>
    <w:rPr>
      <w:color w:val="000000"/>
      <w:sz w:val="21"/>
      <w:szCs w:val="21"/>
    </w:rPr>
  </w:style>
  <w:style w:type="paragraph" w:customStyle="1" w:styleId="107">
    <w:name w:val="Normal (Web)1"/>
    <w:basedOn w:val="1"/>
    <w:next w:val="26"/>
    <w:unhideWhenUsed/>
    <w:qFormat/>
    <w:uiPriority w:val="99"/>
    <w:pPr>
      <w:spacing w:before="100" w:beforeAutospacing="1" w:after="100" w:afterAutospacing="1" w:line="288" w:lineRule="auto"/>
    </w:pPr>
    <w:rPr>
      <w:rFonts w:eastAsia="Times New Roman"/>
      <w:sz w:val="21"/>
      <w:szCs w:val="21"/>
    </w:rPr>
  </w:style>
  <w:style w:type="table" w:customStyle="1" w:styleId="108">
    <w:name w:val="Tabla con cuadrícula5"/>
    <w:basedOn w:val="12"/>
    <w:qFormat/>
    <w:uiPriority w:val="39"/>
    <w:pPr>
      <w:spacing w:after="0" w:line="240" w:lineRule="auto"/>
    </w:pPr>
    <w:rPr>
      <w:rFonts w:eastAsia="Times New Roman"/>
      <w:sz w:val="21"/>
      <w:szCs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9">
    <w:name w:val="Revision"/>
    <w:hidden/>
    <w:semiHidden/>
    <w:qFormat/>
    <w:uiPriority w:val="99"/>
    <w:pPr>
      <w:spacing w:after="0" w:line="240" w:lineRule="auto"/>
      <w:jc w:val="both"/>
    </w:pPr>
    <w:rPr>
      <w:rFonts w:ascii="Times New Roman" w:hAnsi="Times New Roman" w:eastAsia="Times New Roman" w:cs="Times New Roman"/>
      <w:sz w:val="24"/>
      <w:szCs w:val="24"/>
      <w:lang w:val="es-ES" w:eastAsia="es-ES" w:bidi="ar-SA"/>
    </w:rPr>
  </w:style>
  <w:style w:type="table" w:customStyle="1" w:styleId="110">
    <w:name w:val="Tabla de lista 3 - Énfasis 51"/>
    <w:basedOn w:val="12"/>
    <w:qFormat/>
    <w:uiPriority w:val="48"/>
    <w:pPr>
      <w:spacing w:after="0" w:line="240" w:lineRule="auto"/>
    </w:pPr>
    <w:rPr>
      <w:rFonts w:eastAsia="Times New Roman"/>
      <w:sz w:val="21"/>
      <w:szCs w:val="21"/>
      <w:lang w:val="en-US"/>
    </w:rPr>
    <w:tblPr>
      <w:tblBorders>
        <w:top w:val="single" w:color="4472C4" w:sz="4" w:space="0"/>
        <w:left w:val="single" w:color="4472C4" w:sz="4" w:space="0"/>
        <w:bottom w:val="single" w:color="4472C4" w:sz="4" w:space="0"/>
        <w:right w:val="single" w:color="4472C4" w:sz="4" w:space="0"/>
      </w:tblBorders>
    </w:tblPr>
    <w:tblStylePr w:type="firstRow">
      <w:rPr>
        <w:b/>
        <w:bCs/>
        <w:color w:val="FFFFFF"/>
      </w:rPr>
      <w:tcPr>
        <w:shd w:val="clear" w:color="auto" w:fill="4472C4"/>
      </w:tcPr>
    </w:tblStylePr>
    <w:tblStylePr w:type="lastRow">
      <w:rPr>
        <w:b/>
        <w:bCs/>
      </w:rPr>
      <w:tcPr>
        <w:tcBorders>
          <w:top w:val="double" w:color="4472C4" w:sz="4" w:space="0"/>
        </w:tcBorders>
        <w:shd w:val="clear" w:color="auto" w:fill="FFFFFF"/>
      </w:tcPr>
    </w:tblStylePr>
    <w:tblStylePr w:type="firstCol">
      <w:rPr>
        <w:b/>
        <w:bCs/>
      </w:rPr>
      <w:tcPr>
        <w:tcBorders>
          <w:right w:val="nil"/>
        </w:tcBorders>
        <w:shd w:val="clear" w:color="auto" w:fill="FFFFFF"/>
      </w:tcPr>
    </w:tblStylePr>
    <w:tblStylePr w:type="lastCol">
      <w:rPr>
        <w:b/>
        <w:bCs/>
      </w:rPr>
      <w:tcPr>
        <w:tcBorders>
          <w:left w:val="nil"/>
        </w:tcBorders>
        <w:shd w:val="clear" w:color="auto" w:fill="FFFFFF"/>
      </w:tcPr>
    </w:tblStylePr>
    <w:tblStylePr w:type="band1Vert">
      <w:tcPr>
        <w:tcBorders>
          <w:left w:val="single" w:color="4472C4" w:sz="4" w:space="0"/>
          <w:right w:val="single" w:color="4472C4" w:sz="4" w:space="0"/>
        </w:tcBorders>
      </w:tcPr>
    </w:tblStylePr>
    <w:tblStylePr w:type="band1Horz">
      <w:tcPr>
        <w:tcBorders>
          <w:top w:val="single" w:color="4472C4" w:sz="4" w:space="0"/>
          <w:bottom w:val="single" w:color="4472C4" w:sz="4" w:space="0"/>
          <w:insideH w:val="nil"/>
        </w:tcBorders>
      </w:tcPr>
    </w:tblStylePr>
    <w:tblStylePr w:type="neCell">
      <w:tcPr>
        <w:tcBorders>
          <w:left w:val="nil"/>
          <w:bottom w:val="nil"/>
        </w:tcBorders>
      </w:tcPr>
    </w:tblStylePr>
    <w:tblStylePr w:type="nwCell">
      <w:tcPr>
        <w:tcBorders>
          <w:bottom w:val="nil"/>
          <w:right w:val="nil"/>
        </w:tcBorders>
      </w:tcPr>
    </w:tblStylePr>
    <w:tblStylePr w:type="seCell">
      <w:tcPr>
        <w:tcBorders>
          <w:top w:val="double" w:color="4472C4" w:sz="4" w:space="0"/>
          <w:left w:val="nil"/>
        </w:tcBorders>
      </w:tcPr>
    </w:tblStylePr>
    <w:tblStylePr w:type="swCell">
      <w:tcPr>
        <w:tcBorders>
          <w:top w:val="double" w:color="4472C4" w:sz="4" w:space="0"/>
          <w:right w:val="nil"/>
        </w:tcBorders>
      </w:tcPr>
    </w:tblStylePr>
  </w:style>
  <w:style w:type="paragraph" w:customStyle="1" w:styleId="111">
    <w:name w:val="Epígrafe1"/>
    <w:basedOn w:val="1"/>
    <w:next w:val="1"/>
    <w:semiHidden/>
    <w:unhideWhenUsed/>
    <w:qFormat/>
    <w:uiPriority w:val="35"/>
    <w:pPr>
      <w:spacing w:line="240" w:lineRule="auto"/>
    </w:pPr>
    <w:rPr>
      <w:rFonts w:eastAsia="Times New Roman"/>
      <w:b/>
      <w:bCs/>
      <w:smallCaps/>
      <w:color w:val="595959"/>
      <w:sz w:val="21"/>
      <w:szCs w:val="21"/>
      <w:lang w:val="en-US"/>
    </w:rPr>
  </w:style>
  <w:style w:type="paragraph" w:customStyle="1" w:styleId="112">
    <w:name w:val="Subtítulo1"/>
    <w:basedOn w:val="1"/>
    <w:next w:val="1"/>
    <w:qFormat/>
    <w:uiPriority w:val="11"/>
    <w:pPr>
      <w:spacing w:line="240" w:lineRule="auto"/>
    </w:pPr>
    <w:rPr>
      <w:rFonts w:ascii="Calibri Light" w:hAnsi="Calibri Light" w:eastAsia="Times New Roman" w:cs="Times New Roman"/>
      <w:sz w:val="30"/>
      <w:szCs w:val="30"/>
      <w:lang w:val="en-US"/>
    </w:rPr>
  </w:style>
  <w:style w:type="character" w:customStyle="1" w:styleId="113">
    <w:name w:val="Subtítulo Car"/>
    <w:basedOn w:val="11"/>
    <w:link w:val="28"/>
    <w:qFormat/>
    <w:uiPriority w:val="11"/>
    <w:rPr>
      <w:rFonts w:ascii="Calibri Light" w:hAnsi="Calibri Light" w:eastAsia="Times New Roman" w:cs="Times New Roman"/>
      <w:sz w:val="30"/>
      <w:szCs w:val="30"/>
    </w:rPr>
  </w:style>
  <w:style w:type="character" w:customStyle="1" w:styleId="114">
    <w:name w:val="Énfasis1"/>
    <w:basedOn w:val="11"/>
    <w:qFormat/>
    <w:uiPriority w:val="20"/>
    <w:rPr>
      <w:i/>
      <w:iCs/>
      <w:color w:val="70AD47"/>
    </w:rPr>
  </w:style>
  <w:style w:type="paragraph" w:customStyle="1" w:styleId="115">
    <w:name w:val="Cita1"/>
    <w:basedOn w:val="1"/>
    <w:next w:val="1"/>
    <w:qFormat/>
    <w:uiPriority w:val="29"/>
    <w:pPr>
      <w:spacing w:before="160" w:line="288" w:lineRule="auto"/>
      <w:ind w:left="720" w:right="720"/>
      <w:jc w:val="center"/>
    </w:pPr>
    <w:rPr>
      <w:rFonts w:eastAsia="Times New Roman"/>
      <w:i/>
      <w:iCs/>
      <w:color w:val="262626"/>
      <w:sz w:val="21"/>
      <w:szCs w:val="21"/>
      <w:lang w:val="en-US"/>
    </w:rPr>
  </w:style>
  <w:style w:type="character" w:customStyle="1" w:styleId="116">
    <w:name w:val="Cita Car"/>
    <w:basedOn w:val="11"/>
    <w:link w:val="117"/>
    <w:qFormat/>
    <w:uiPriority w:val="29"/>
    <w:rPr>
      <w:i/>
      <w:iCs/>
      <w:color w:val="262626"/>
    </w:rPr>
  </w:style>
  <w:style w:type="paragraph" w:styleId="117">
    <w:name w:val="Quote"/>
    <w:basedOn w:val="1"/>
    <w:next w:val="1"/>
    <w:link w:val="116"/>
    <w:qFormat/>
    <w:uiPriority w:val="29"/>
    <w:rPr>
      <w:i/>
      <w:iCs/>
      <w:color w:val="262626"/>
    </w:rPr>
  </w:style>
  <w:style w:type="paragraph" w:customStyle="1" w:styleId="118">
    <w:name w:val="Cita destacada1"/>
    <w:basedOn w:val="1"/>
    <w:next w:val="1"/>
    <w:qFormat/>
    <w:uiPriority w:val="30"/>
    <w:pPr>
      <w:spacing w:before="160" w:after="160" w:line="264" w:lineRule="auto"/>
      <w:ind w:left="720" w:right="720"/>
      <w:jc w:val="center"/>
    </w:pPr>
    <w:rPr>
      <w:rFonts w:ascii="Calibri Light" w:hAnsi="Calibri Light" w:eastAsia="Times New Roman" w:cs="Times New Roman"/>
      <w:i/>
      <w:iCs/>
      <w:color w:val="70AD47"/>
      <w:sz w:val="32"/>
      <w:szCs w:val="32"/>
      <w:lang w:val="en-US"/>
    </w:rPr>
  </w:style>
  <w:style w:type="character" w:customStyle="1" w:styleId="119">
    <w:name w:val="Cita destacada Car"/>
    <w:basedOn w:val="11"/>
    <w:link w:val="120"/>
    <w:qFormat/>
    <w:uiPriority w:val="30"/>
    <w:rPr>
      <w:rFonts w:ascii="Calibri Light" w:hAnsi="Calibri Light" w:eastAsia="Times New Roman" w:cs="Times New Roman"/>
      <w:i/>
      <w:iCs/>
      <w:color w:val="70AD47"/>
      <w:sz w:val="32"/>
      <w:szCs w:val="32"/>
    </w:rPr>
  </w:style>
  <w:style w:type="paragraph" w:styleId="120">
    <w:name w:val="Intense Quote"/>
    <w:basedOn w:val="1"/>
    <w:next w:val="1"/>
    <w:link w:val="119"/>
    <w:qFormat/>
    <w:uiPriority w:val="30"/>
    <w:pPr>
      <w:pBdr>
        <w:bottom w:val="single" w:color="4F81BD" w:themeColor="accent1" w:sz="4" w:space="4"/>
      </w:pBdr>
      <w:spacing w:before="200" w:after="280"/>
      <w:ind w:left="936" w:right="936"/>
    </w:pPr>
    <w:rPr>
      <w:rFonts w:ascii="Calibri Light" w:hAnsi="Calibri Light" w:eastAsia="Times New Roman" w:cs="Times New Roman"/>
      <w:i/>
      <w:iCs/>
      <w:color w:val="70AD47"/>
      <w:sz w:val="32"/>
      <w:szCs w:val="32"/>
    </w:rPr>
  </w:style>
  <w:style w:type="character" w:customStyle="1" w:styleId="121">
    <w:name w:val="Subtle Emphasis"/>
    <w:basedOn w:val="11"/>
    <w:qFormat/>
    <w:uiPriority w:val="19"/>
    <w:rPr>
      <w:i/>
      <w:iCs/>
    </w:rPr>
  </w:style>
  <w:style w:type="character" w:customStyle="1" w:styleId="122">
    <w:name w:val="Intense Emphasis"/>
    <w:basedOn w:val="11"/>
    <w:qFormat/>
    <w:uiPriority w:val="21"/>
    <w:rPr>
      <w:b/>
      <w:bCs/>
      <w:i/>
      <w:iCs/>
    </w:rPr>
  </w:style>
  <w:style w:type="character" w:customStyle="1" w:styleId="123">
    <w:name w:val="Referencia sutil1"/>
    <w:basedOn w:val="11"/>
    <w:qFormat/>
    <w:uiPriority w:val="31"/>
    <w:rPr>
      <w:smallCaps/>
      <w:color w:val="595959"/>
    </w:rPr>
  </w:style>
  <w:style w:type="character" w:customStyle="1" w:styleId="124">
    <w:name w:val="Referencia intensa1"/>
    <w:basedOn w:val="11"/>
    <w:qFormat/>
    <w:uiPriority w:val="32"/>
    <w:rPr>
      <w:b/>
      <w:bCs/>
      <w:smallCaps/>
      <w:color w:val="70AD47"/>
    </w:rPr>
  </w:style>
  <w:style w:type="character" w:customStyle="1" w:styleId="125">
    <w:name w:val="Book Title"/>
    <w:basedOn w:val="11"/>
    <w:qFormat/>
    <w:uiPriority w:val="33"/>
    <w:rPr>
      <w:b/>
      <w:bCs/>
      <w:smallCaps/>
      <w:spacing w:val="7"/>
      <w:sz w:val="21"/>
      <w:szCs w:val="21"/>
    </w:rPr>
  </w:style>
  <w:style w:type="paragraph" w:customStyle="1" w:styleId="126">
    <w:name w:val="Título de TDC1"/>
    <w:basedOn w:val="2"/>
    <w:next w:val="1"/>
    <w:semiHidden/>
    <w:unhideWhenUsed/>
    <w:qFormat/>
    <w:uiPriority w:val="39"/>
    <w:pPr>
      <w:spacing w:before="360" w:after="40" w:line="240" w:lineRule="auto"/>
      <w:outlineLvl w:val="9"/>
    </w:pPr>
    <w:rPr>
      <w:b w:val="0"/>
      <w:bCs w:val="0"/>
      <w:color w:val="538135"/>
      <w:sz w:val="40"/>
      <w:szCs w:val="40"/>
      <w:lang w:val="en-US"/>
    </w:rPr>
  </w:style>
  <w:style w:type="paragraph" w:customStyle="1" w:styleId="127">
    <w:name w:val="msonormal"/>
    <w:basedOn w:val="1"/>
    <w:qFormat/>
    <w:uiPriority w:val="0"/>
    <w:pP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128">
    <w:name w:val="font5"/>
    <w:basedOn w:val="1"/>
    <w:qFormat/>
    <w:uiPriority w:val="0"/>
    <w:pPr>
      <w:spacing w:before="100" w:beforeAutospacing="1" w:after="100" w:afterAutospacing="1" w:line="240" w:lineRule="auto"/>
    </w:pPr>
    <w:rPr>
      <w:rFonts w:ascii="Core Rhino 35 Light" w:hAnsi="Core Rhino 35 Light" w:eastAsia="Times New Roman" w:cs="Times New Roman"/>
      <w:color w:val="000000"/>
      <w:sz w:val="16"/>
      <w:szCs w:val="16"/>
    </w:rPr>
  </w:style>
  <w:style w:type="paragraph" w:customStyle="1" w:styleId="129">
    <w:name w:val="font6"/>
    <w:basedOn w:val="1"/>
    <w:qFormat/>
    <w:uiPriority w:val="0"/>
    <w:pPr>
      <w:spacing w:before="100" w:beforeAutospacing="1" w:after="100" w:afterAutospacing="1" w:line="240" w:lineRule="auto"/>
    </w:pPr>
    <w:rPr>
      <w:rFonts w:ascii="Core Rhino 35 Light" w:hAnsi="Core Rhino 35 Light" w:eastAsia="Times New Roman" w:cs="Times New Roman"/>
      <w:color w:val="C00000"/>
      <w:sz w:val="16"/>
      <w:szCs w:val="16"/>
      <w:u w:val="single"/>
    </w:rPr>
  </w:style>
  <w:style w:type="paragraph" w:customStyle="1" w:styleId="130">
    <w:name w:val="xl66"/>
    <w:basedOn w:val="1"/>
    <w:qFormat/>
    <w:uiPriority w:val="0"/>
    <w:pPr>
      <w:spacing w:before="100" w:beforeAutospacing="1" w:after="100" w:afterAutospacing="1" w:line="240" w:lineRule="auto"/>
    </w:pPr>
    <w:rPr>
      <w:rFonts w:ascii="Times New Roman" w:hAnsi="Times New Roman" w:eastAsia="Times New Roman" w:cs="Times New Roman"/>
      <w:sz w:val="24"/>
      <w:szCs w:val="24"/>
    </w:rPr>
  </w:style>
  <w:style w:type="paragraph" w:customStyle="1" w:styleId="131">
    <w:name w:val="xl67"/>
    <w:basedOn w:val="1"/>
    <w:qFormat/>
    <w:uiPriority w:val="0"/>
    <w:pP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132">
    <w:name w:val="Texto comentario1"/>
    <w:basedOn w:val="1"/>
    <w:next w:val="20"/>
    <w:link w:val="133"/>
    <w:semiHidden/>
    <w:unhideWhenUsed/>
    <w:qFormat/>
    <w:uiPriority w:val="99"/>
    <w:pPr>
      <w:spacing w:line="240" w:lineRule="auto"/>
    </w:pPr>
    <w:rPr>
      <w:sz w:val="20"/>
      <w:szCs w:val="20"/>
    </w:rPr>
  </w:style>
  <w:style w:type="character" w:customStyle="1" w:styleId="133">
    <w:name w:val="Texto comentario Car"/>
    <w:basedOn w:val="11"/>
    <w:link w:val="132"/>
    <w:semiHidden/>
    <w:qFormat/>
    <w:uiPriority w:val="99"/>
    <w:rPr>
      <w:sz w:val="20"/>
      <w:szCs w:val="20"/>
    </w:rPr>
  </w:style>
  <w:style w:type="paragraph" w:customStyle="1" w:styleId="134">
    <w:name w:val="Asunto del comentario1"/>
    <w:basedOn w:val="20"/>
    <w:next w:val="20"/>
    <w:semiHidden/>
    <w:unhideWhenUsed/>
    <w:qFormat/>
    <w:uiPriority w:val="99"/>
    <w:rPr>
      <w:rFonts w:eastAsia="Times New Roman"/>
      <w:b/>
      <w:bCs/>
      <w:lang w:val="en-US"/>
    </w:rPr>
  </w:style>
  <w:style w:type="character" w:customStyle="1" w:styleId="135">
    <w:name w:val="Asunto del comentario Car"/>
    <w:basedOn w:val="133"/>
    <w:link w:val="19"/>
    <w:semiHidden/>
    <w:qFormat/>
    <w:uiPriority w:val="99"/>
    <w:rPr>
      <w:b/>
      <w:bCs/>
      <w:sz w:val="20"/>
      <w:szCs w:val="20"/>
    </w:rPr>
  </w:style>
  <w:style w:type="character" w:customStyle="1" w:styleId="136">
    <w:name w:val="Título 4 Car1"/>
    <w:basedOn w:val="11"/>
    <w:semiHidden/>
    <w:qFormat/>
    <w:uiPriority w:val="9"/>
    <w:rPr>
      <w:rFonts w:asciiTheme="majorHAnsi" w:hAnsiTheme="majorHAnsi" w:eastAsiaTheme="majorEastAsia" w:cstheme="majorBidi"/>
      <w:b/>
      <w:bCs/>
      <w:i/>
      <w:iCs/>
      <w:color w:val="4F81BD" w:themeColor="accent1"/>
      <w14:textFill>
        <w14:solidFill>
          <w14:schemeClr w14:val="accent1"/>
        </w14:solidFill>
      </w14:textFill>
    </w:rPr>
  </w:style>
  <w:style w:type="character" w:customStyle="1" w:styleId="137">
    <w:name w:val="Título 5 Car1"/>
    <w:basedOn w:val="11"/>
    <w:semiHidden/>
    <w:qFormat/>
    <w:uiPriority w:val="9"/>
    <w:rPr>
      <w:rFonts w:asciiTheme="majorHAnsi" w:hAnsiTheme="majorHAnsi" w:eastAsiaTheme="majorEastAsia" w:cstheme="majorBidi"/>
      <w:color w:val="254061" w:themeColor="accent1" w:themeShade="80"/>
    </w:rPr>
  </w:style>
  <w:style w:type="character" w:customStyle="1" w:styleId="138">
    <w:name w:val="Título 6 Car1"/>
    <w:basedOn w:val="11"/>
    <w:semiHidden/>
    <w:qFormat/>
    <w:uiPriority w:val="9"/>
    <w:rPr>
      <w:rFonts w:asciiTheme="majorHAnsi" w:hAnsiTheme="majorHAnsi" w:eastAsiaTheme="majorEastAsia" w:cstheme="majorBidi"/>
      <w:i/>
      <w:iCs/>
      <w:color w:val="254061" w:themeColor="accent1" w:themeShade="80"/>
    </w:rPr>
  </w:style>
  <w:style w:type="character" w:customStyle="1" w:styleId="139">
    <w:name w:val="Título 7 Car1"/>
    <w:basedOn w:val="11"/>
    <w:semiHidden/>
    <w:qFormat/>
    <w:uiPriority w:val="9"/>
    <w:rPr>
      <w:rFonts w:asciiTheme="majorHAnsi" w:hAnsiTheme="majorHAnsi" w:eastAsiaTheme="majorEastAsia" w:cstheme="majorBidi"/>
      <w:i/>
      <w:iCs/>
      <w:color w:val="404040" w:themeColor="text1" w:themeTint="BF"/>
      <w14:textFill>
        <w14:solidFill>
          <w14:schemeClr w14:val="tx1">
            <w14:lumMod w14:val="75000"/>
            <w14:lumOff w14:val="25000"/>
          </w14:schemeClr>
        </w14:solidFill>
      </w14:textFill>
    </w:rPr>
  </w:style>
  <w:style w:type="character" w:customStyle="1" w:styleId="140">
    <w:name w:val="Título 8 Car1"/>
    <w:basedOn w:val="11"/>
    <w:semiHidden/>
    <w:qFormat/>
    <w:uiPriority w:val="9"/>
    <w:rPr>
      <w:rFonts w:asciiTheme="majorHAnsi" w:hAnsiTheme="majorHAnsi" w:eastAsiaTheme="majorEastAsia" w:cstheme="majorBidi"/>
      <w:color w:val="404040" w:themeColor="text1" w:themeTint="BF"/>
      <w:sz w:val="20"/>
      <w:szCs w:val="20"/>
      <w14:textFill>
        <w14:solidFill>
          <w14:schemeClr w14:val="tx1">
            <w14:lumMod w14:val="75000"/>
            <w14:lumOff w14:val="25000"/>
          </w14:schemeClr>
        </w14:solidFill>
      </w14:textFill>
    </w:rPr>
  </w:style>
  <w:style w:type="character" w:customStyle="1" w:styleId="141">
    <w:name w:val="Título 9 Car1"/>
    <w:basedOn w:val="11"/>
    <w:semiHidden/>
    <w:qFormat/>
    <w:uiPriority w:val="9"/>
    <w:rPr>
      <w:rFonts w:asciiTheme="majorHAnsi" w:hAnsiTheme="majorHAnsi" w:eastAsiaTheme="majorEastAsia" w:cstheme="majorBidi"/>
      <w:i/>
      <w:iCs/>
      <w:color w:val="404040" w:themeColor="text1" w:themeTint="BF"/>
      <w:sz w:val="20"/>
      <w:szCs w:val="20"/>
      <w14:textFill>
        <w14:solidFill>
          <w14:schemeClr w14:val="tx1">
            <w14:lumMod w14:val="75000"/>
            <w14:lumOff w14:val="25000"/>
          </w14:schemeClr>
        </w14:solidFill>
      </w14:textFill>
    </w:rPr>
  </w:style>
  <w:style w:type="character" w:customStyle="1" w:styleId="142">
    <w:name w:val="Subtítulo Car1"/>
    <w:basedOn w:val="11"/>
    <w:qFormat/>
    <w:uiPriority w:val="11"/>
    <w:rPr>
      <w:rFonts w:asciiTheme="majorHAnsi" w:hAnsiTheme="majorHAnsi" w:eastAsiaTheme="majorEastAsia" w:cstheme="majorBidi"/>
      <w:i/>
      <w:iCs/>
      <w:color w:val="4F81BD" w:themeColor="accent1"/>
      <w:spacing w:val="15"/>
      <w:sz w:val="24"/>
      <w:szCs w:val="24"/>
      <w14:textFill>
        <w14:solidFill>
          <w14:schemeClr w14:val="accent1"/>
        </w14:solidFill>
      </w14:textFill>
    </w:rPr>
  </w:style>
  <w:style w:type="character" w:customStyle="1" w:styleId="143">
    <w:name w:val="Cita Car1"/>
    <w:basedOn w:val="11"/>
    <w:qFormat/>
    <w:uiPriority w:val="29"/>
    <w:rPr>
      <w:i/>
      <w:iCs/>
      <w:color w:val="000000" w:themeColor="text1"/>
      <w14:textFill>
        <w14:solidFill>
          <w14:schemeClr w14:val="tx1"/>
        </w14:solidFill>
      </w14:textFill>
    </w:rPr>
  </w:style>
  <w:style w:type="character" w:customStyle="1" w:styleId="144">
    <w:name w:val="Cita destacada Car1"/>
    <w:basedOn w:val="11"/>
    <w:qFormat/>
    <w:uiPriority w:val="30"/>
    <w:rPr>
      <w:b/>
      <w:bCs/>
      <w:i/>
      <w:iCs/>
      <w:color w:val="4F81BD" w:themeColor="accent1"/>
      <w14:textFill>
        <w14:solidFill>
          <w14:schemeClr w14:val="accent1"/>
        </w14:solidFill>
      </w14:textFill>
    </w:rPr>
  </w:style>
  <w:style w:type="character" w:customStyle="1" w:styleId="145">
    <w:name w:val="Subtle Reference"/>
    <w:basedOn w:val="11"/>
    <w:qFormat/>
    <w:uiPriority w:val="31"/>
    <w:rPr>
      <w:smallCaps/>
      <w:color w:val="C0504D" w:themeColor="accent2"/>
      <w:u w:val="single"/>
      <w14:textFill>
        <w14:solidFill>
          <w14:schemeClr w14:val="accent2"/>
        </w14:solidFill>
      </w14:textFill>
    </w:rPr>
  </w:style>
  <w:style w:type="character" w:customStyle="1" w:styleId="146">
    <w:name w:val="Intense Reference"/>
    <w:basedOn w:val="11"/>
    <w:qFormat/>
    <w:uiPriority w:val="32"/>
    <w:rPr>
      <w:b/>
      <w:bCs/>
      <w:smallCaps/>
      <w:color w:val="C0504D" w:themeColor="accent2"/>
      <w:spacing w:val="5"/>
      <w:u w:val="single"/>
      <w14:textFill>
        <w14:solidFill>
          <w14:schemeClr w14:val="accent2"/>
        </w14:solidFill>
      </w14:textFill>
    </w:rPr>
  </w:style>
  <w:style w:type="character" w:customStyle="1" w:styleId="147">
    <w:name w:val="Texto comentario Car1"/>
    <w:basedOn w:val="11"/>
    <w:link w:val="20"/>
    <w:semiHidden/>
    <w:qFormat/>
    <w:uiPriority w:val="99"/>
    <w:rPr>
      <w:sz w:val="20"/>
      <w:szCs w:val="20"/>
    </w:rPr>
  </w:style>
  <w:style w:type="character" w:customStyle="1" w:styleId="148">
    <w:name w:val="Asunto del comentario Car1"/>
    <w:basedOn w:val="147"/>
    <w:semiHidden/>
    <w:qFormat/>
    <w:uiPriority w:val="99"/>
    <w:rPr>
      <w:b/>
      <w:bCs/>
      <w:sz w:val="20"/>
      <w:szCs w:val="20"/>
    </w:rPr>
  </w:style>
  <w:style w:type="paragraph" w:customStyle="1" w:styleId="149">
    <w:name w:val="xl6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40" w:lineRule="auto"/>
      <w:textAlignment w:val="top"/>
    </w:pPr>
    <w:rPr>
      <w:rFonts w:ascii="Times New Roman" w:hAnsi="Times New Roman" w:eastAsia="Times New Roman" w:cs="Times New Roman"/>
      <w:sz w:val="18"/>
      <w:szCs w:val="18"/>
    </w:rPr>
  </w:style>
  <w:style w:type="table" w:customStyle="1" w:styleId="150">
    <w:name w:val="Tabla con cuadrícula41"/>
    <w:basedOn w:val="12"/>
    <w:qFormat/>
    <w:uiPriority w:val="59"/>
    <w:pPr>
      <w:widowControl w:val="0"/>
      <w:autoSpaceDN w:val="0"/>
      <w:spacing w:after="0" w:line="240" w:lineRule="auto"/>
      <w:textAlignment w:val="baseline"/>
    </w:pPr>
    <w:rPr>
      <w:rFonts w:ascii="Times New Roman" w:hAnsi="Times New Roman" w:eastAsia="SimSun" w:cs="Mangal"/>
      <w:kern w:val="3"/>
      <w:sz w:val="24"/>
      <w:szCs w:val="24"/>
      <w:lang w:eastAsia="zh-CN" w:bidi="hi-I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1">
    <w:name w:val="Tabla con cuadrícula51"/>
    <w:basedOn w:val="12"/>
    <w:qFormat/>
    <w:uiPriority w:val="59"/>
    <w:pPr>
      <w:widowControl w:val="0"/>
      <w:autoSpaceDN w:val="0"/>
      <w:spacing w:after="0" w:line="240" w:lineRule="auto"/>
      <w:textAlignment w:val="baseline"/>
    </w:pPr>
    <w:rPr>
      <w:rFonts w:ascii="Times New Roman" w:hAnsi="Times New Roman" w:eastAsia="SimSun" w:cs="Mangal"/>
      <w:kern w:val="3"/>
      <w:sz w:val="24"/>
      <w:szCs w:val="24"/>
      <w:lang w:eastAsia="zh-CN" w:bidi="hi-I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2">
    <w:name w:val="Tabla con cuadrícula6"/>
    <w:basedOn w:val="12"/>
    <w:qFormat/>
    <w:uiPriority w:val="59"/>
    <w:pPr>
      <w:spacing w:after="0" w:line="240" w:lineRule="auto"/>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53">
    <w:name w:val="Colorful Shading - Accent 31"/>
    <w:basedOn w:val="1"/>
    <w:qFormat/>
    <w:uiPriority w:val="0"/>
    <w:pPr>
      <w:suppressAutoHyphens/>
      <w:spacing w:after="0" w:line="240" w:lineRule="auto"/>
      <w:ind w:left="708"/>
    </w:pPr>
    <w:rPr>
      <w:rFonts w:ascii="Times New Roman" w:hAnsi="Times New Roman" w:eastAsia="Times New Roman" w:cs="Times New Roman"/>
      <w:sz w:val="24"/>
      <w:szCs w:val="24"/>
      <w:lang w:val="es-ES" w:eastAsia="ar-SA"/>
    </w:rPr>
  </w:style>
  <w:style w:type="table" w:customStyle="1" w:styleId="154">
    <w:name w:val="Table Normal1"/>
    <w:semiHidden/>
    <w:unhideWhenUsed/>
    <w:qFormat/>
    <w:uiPriority w:val="2"/>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155">
    <w:name w:val="Table Paragraph"/>
    <w:basedOn w:val="1"/>
    <w:qFormat/>
    <w:uiPriority w:val="1"/>
    <w:pPr>
      <w:widowControl w:val="0"/>
      <w:autoSpaceDE w:val="0"/>
      <w:autoSpaceDN w:val="0"/>
      <w:spacing w:after="0" w:line="240" w:lineRule="auto"/>
    </w:pPr>
    <w:rPr>
      <w:rFonts w:ascii="Arial" w:hAnsi="Arial" w:eastAsia="Arial" w:cs="Arial"/>
      <w:lang w:val="en-US"/>
    </w:rPr>
  </w:style>
  <w:style w:type="paragraph" w:customStyle="1" w:styleId="156">
    <w:name w:val="font0"/>
    <w:basedOn w:val="1"/>
    <w:qFormat/>
    <w:uiPriority w:val="0"/>
    <w:pPr>
      <w:spacing w:before="100" w:beforeAutospacing="1" w:after="100" w:afterAutospacing="1" w:line="240" w:lineRule="auto"/>
    </w:pPr>
    <w:rPr>
      <w:rFonts w:eastAsia="Times New Roman"/>
      <w:color w:val="000000"/>
    </w:rPr>
  </w:style>
  <w:style w:type="paragraph" w:customStyle="1" w:styleId="157">
    <w:name w:val="font7"/>
    <w:basedOn w:val="1"/>
    <w:qFormat/>
    <w:uiPriority w:val="0"/>
    <w:pPr>
      <w:spacing w:before="100" w:beforeAutospacing="1" w:after="100" w:afterAutospacing="1" w:line="240" w:lineRule="auto"/>
    </w:pPr>
    <w:rPr>
      <w:rFonts w:eastAsia="Times New Roman"/>
      <w:b/>
      <w:bCs/>
      <w:color w:val="000000"/>
      <w:u w:val="single"/>
    </w:rPr>
  </w:style>
  <w:style w:type="paragraph" w:customStyle="1" w:styleId="158">
    <w:name w:val="xl63"/>
    <w:basedOn w:val="1"/>
    <w:qFormat/>
    <w:uiPriority w:val="0"/>
    <w:pPr>
      <w:pBdr>
        <w:right w:val="single" w:color="auto" w:sz="8" w:space="0"/>
      </w:pBdr>
      <w:spacing w:before="100" w:beforeAutospacing="1" w:after="100" w:afterAutospacing="1" w:line="240" w:lineRule="auto"/>
      <w:jc w:val="center"/>
    </w:pPr>
    <w:rPr>
      <w:rFonts w:ascii="Times New Roman" w:hAnsi="Times New Roman" w:eastAsia="Times New Roman" w:cs="Times New Roman"/>
      <w:color w:val="000000"/>
      <w:sz w:val="24"/>
      <w:szCs w:val="24"/>
    </w:rPr>
  </w:style>
  <w:style w:type="paragraph" w:customStyle="1" w:styleId="159">
    <w:name w:val="xl64"/>
    <w:basedOn w:val="1"/>
    <w:qFormat/>
    <w:uiPriority w:val="0"/>
    <w:pPr>
      <w:pBdr>
        <w:right w:val="single" w:color="auto" w:sz="8" w:space="0"/>
      </w:pBdr>
      <w:spacing w:before="100" w:beforeAutospacing="1" w:after="100" w:afterAutospacing="1" w:line="240" w:lineRule="auto"/>
    </w:pPr>
    <w:rPr>
      <w:rFonts w:ascii="Times New Roman" w:hAnsi="Times New Roman" w:eastAsia="Times New Roman" w:cs="Times New Roman"/>
      <w:sz w:val="24"/>
      <w:szCs w:val="24"/>
    </w:rPr>
  </w:style>
  <w:style w:type="table" w:customStyle="1" w:styleId="160">
    <w:name w:val="Table Grid1"/>
    <w:basedOn w:val="12"/>
    <w:qFormat/>
    <w:uiPriority w:val="39"/>
    <w:pPr>
      <w:spacing w:after="0" w:line="240" w:lineRule="auto"/>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61">
    <w:name w:val="_Style 160"/>
    <w:basedOn w:val="12"/>
    <w:qFormat/>
    <w:uiPriority w:val="0"/>
    <w:tblPr>
      <w:tblCellMar>
        <w:left w:w="115" w:type="dxa"/>
        <w:right w:w="115" w:type="dxa"/>
      </w:tblCellMar>
    </w:tblPr>
  </w:style>
  <w:style w:type="table" w:customStyle="1" w:styleId="162">
    <w:name w:val="_Style 161"/>
    <w:basedOn w:val="12"/>
    <w:qFormat/>
    <w:uiPriority w:val="0"/>
    <w:tblPr>
      <w:tblCellMar>
        <w:left w:w="115" w:type="dxa"/>
        <w:right w:w="115" w:type="dxa"/>
      </w:tblCellMar>
    </w:tblPr>
  </w:style>
  <w:style w:type="table" w:customStyle="1" w:styleId="163">
    <w:name w:val="_Style 162"/>
    <w:basedOn w:val="12"/>
    <w:qFormat/>
    <w:uiPriority w:val="0"/>
    <w:tblPr>
      <w:tblCellMar>
        <w:left w:w="115" w:type="dxa"/>
        <w:right w:w="115" w:type="dxa"/>
      </w:tblCellMar>
    </w:tblPr>
  </w:style>
  <w:style w:type="table" w:customStyle="1" w:styleId="164">
    <w:name w:val="_Style 163"/>
    <w:basedOn w:val="12"/>
    <w:qFormat/>
    <w:uiPriority w:val="0"/>
    <w:tblPr>
      <w:tblCellMar>
        <w:left w:w="70" w:type="dxa"/>
        <w:right w:w="70" w:type="dxa"/>
      </w:tblCellMar>
    </w:tblPr>
  </w:style>
  <w:style w:type="table" w:customStyle="1" w:styleId="165">
    <w:name w:val="_Style 164"/>
    <w:basedOn w:val="12"/>
    <w:qFormat/>
    <w:uiPriority w:val="0"/>
    <w:tblPr>
      <w:tblCellMar>
        <w:left w:w="70" w:type="dxa"/>
        <w:right w:w="70" w:type="dxa"/>
      </w:tblCellMar>
    </w:tblPr>
  </w:style>
  <w:style w:type="table" w:customStyle="1" w:styleId="166">
    <w:name w:val="_Style 165"/>
    <w:basedOn w:val="12"/>
    <w:qFormat/>
    <w:uiPriority w:val="0"/>
    <w:tblPr>
      <w:tblCellMar>
        <w:left w:w="70" w:type="dxa"/>
        <w:right w:w="70" w:type="dxa"/>
      </w:tblCellMar>
    </w:tblPr>
  </w:style>
  <w:style w:type="table" w:customStyle="1" w:styleId="167">
    <w:name w:val="_Style 166"/>
    <w:basedOn w:val="12"/>
    <w:qFormat/>
    <w:uiPriority w:val="0"/>
    <w:tblPr>
      <w:tblCellMar>
        <w:left w:w="70" w:type="dxa"/>
        <w:right w:w="70" w:type="dxa"/>
      </w:tblCellMar>
    </w:tblPr>
  </w:style>
  <w:style w:type="table" w:customStyle="1" w:styleId="168">
    <w:name w:val="_Style 167"/>
    <w:basedOn w:val="12"/>
    <w:qFormat/>
    <w:uiPriority w:val="0"/>
    <w:pPr>
      <w:widowControl w:val="0"/>
      <w:spacing w:after="0" w:line="240" w:lineRule="auto"/>
    </w:pPr>
    <w:rPr>
      <w:sz w:val="24"/>
      <w:szCs w:val="24"/>
    </w:rPr>
  </w:style>
  <w:style w:type="table" w:customStyle="1" w:styleId="169">
    <w:name w:val="_Style 168"/>
    <w:basedOn w:val="12"/>
    <w:qFormat/>
    <w:uiPriority w:val="0"/>
    <w:tblPr>
      <w:tblCellMar>
        <w:left w:w="30" w:type="dxa"/>
        <w:right w:w="30" w:type="dxa"/>
      </w:tblCellMar>
    </w:tblPr>
  </w:style>
  <w:style w:type="table" w:customStyle="1" w:styleId="170">
    <w:name w:val="_Style 169"/>
    <w:basedOn w:val="12"/>
    <w:qFormat/>
    <w:uiPriority w:val="0"/>
    <w:tblPr>
      <w:tblCellMar>
        <w:left w:w="70" w:type="dxa"/>
        <w:right w:w="70" w:type="dxa"/>
      </w:tblCellMar>
    </w:tblPr>
  </w:style>
  <w:style w:type="table" w:customStyle="1" w:styleId="171">
    <w:name w:val="Tabla con cuadrícula611"/>
    <w:basedOn w:val="12"/>
    <w:qFormat/>
    <w:uiPriority w:val="5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2">
    <w:name w:val="Tabla con cuadrícula9"/>
    <w:basedOn w:val="12"/>
    <w:qFormat/>
    <w:uiPriority w:val="3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3">
    <w:name w:val="Table Grid2"/>
    <w:basedOn w:val="12"/>
    <w:qFormat/>
    <w:uiPriority w:val="3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4">
    <w:name w:val="Table Grid3"/>
    <w:basedOn w:val="12"/>
    <w:qFormat/>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5">
    <w:name w:val="Table Grid4"/>
    <w:basedOn w:val="12"/>
    <w:qFormat/>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6">
    <w:name w:val="Table Grid5"/>
    <w:basedOn w:val="12"/>
    <w:qFormat/>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7">
    <w:name w:val="Table Grid6"/>
    <w:basedOn w:val="12"/>
    <w:qFormat/>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78">
    <w:name w:val="Table Grid7"/>
    <w:basedOn w:val="12"/>
    <w:qFormat/>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79">
    <w:name w:val="xl111"/>
    <w:basedOn w:val="1"/>
    <w:qFormat/>
    <w:uiPriority w:val="0"/>
    <w:pPr>
      <w:pBdr>
        <w:bottom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180">
    <w:name w:val="xl112"/>
    <w:basedOn w:val="1"/>
    <w:qFormat/>
    <w:uiPriority w:val="0"/>
    <w:pPr>
      <w:pBdr>
        <w:bottom w:val="single" w:color="auto" w:sz="8" w:space="0"/>
        <w:right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customStyle="1" w:styleId="181">
    <w:name w:val="xl113"/>
    <w:basedOn w:val="1"/>
    <w:qFormat/>
    <w:uiPriority w:val="0"/>
    <w:pPr>
      <w:pBdr>
        <w:top w:val="single" w:color="auto" w:sz="8" w:space="0"/>
        <w:left w:val="single" w:color="auto" w:sz="8" w:space="0"/>
        <w:right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182">
    <w:name w:val="xl114"/>
    <w:basedOn w:val="1"/>
    <w:qFormat/>
    <w:uiPriority w:val="0"/>
    <w:pPr>
      <w:pBdr>
        <w:left w:val="single" w:color="auto" w:sz="8" w:space="0"/>
        <w:bottom w:val="single" w:color="auto" w:sz="8" w:space="0"/>
        <w:right w:val="single" w:color="auto" w:sz="8" w:space="0"/>
      </w:pBdr>
      <w:shd w:val="clear" w:color="000000" w:fill="D9D9D9"/>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183">
    <w:name w:val="xl115"/>
    <w:basedOn w:val="1"/>
    <w:qFormat/>
    <w:uiPriority w:val="0"/>
    <w:pPr>
      <w:pBdr>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Arial" w:hAnsi="Arial" w:eastAsia="Times New Roman" w:cs="Arial"/>
      <w:sz w:val="24"/>
      <w:szCs w:val="24"/>
    </w:rPr>
  </w:style>
  <w:style w:type="paragraph" w:customStyle="1" w:styleId="184">
    <w:name w:val="xl11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Arial" w:hAnsi="Arial" w:eastAsia="Times New Roman" w:cs="Arial"/>
      <w:sz w:val="24"/>
      <w:szCs w:val="24"/>
    </w:rPr>
  </w:style>
  <w:style w:type="paragraph" w:customStyle="1" w:styleId="185">
    <w:name w:val="xl117"/>
    <w:basedOn w:val="1"/>
    <w:qFormat/>
    <w:uiPriority w:val="0"/>
    <w:pPr>
      <w:pBdr>
        <w:top w:val="single" w:color="auto" w:sz="4" w:space="0"/>
        <w:left w:val="single" w:color="auto" w:sz="4" w:space="0"/>
        <w:right w:val="single" w:color="auto" w:sz="4" w:space="0"/>
      </w:pBdr>
      <w:spacing w:before="100" w:beforeAutospacing="1" w:after="100" w:afterAutospacing="1" w:line="240" w:lineRule="auto"/>
      <w:jc w:val="center"/>
      <w:textAlignment w:val="center"/>
    </w:pPr>
    <w:rPr>
      <w:rFonts w:ascii="Arial" w:hAnsi="Arial" w:eastAsia="Times New Roman" w:cs="Arial"/>
      <w:sz w:val="24"/>
      <w:szCs w:val="24"/>
    </w:rPr>
  </w:style>
  <w:style w:type="paragraph" w:customStyle="1" w:styleId="186">
    <w:name w:val="xl118"/>
    <w:basedOn w:val="1"/>
    <w:qFormat/>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textAlignment w:val="center"/>
    </w:pPr>
    <w:rPr>
      <w:rFonts w:ascii="Times New Roman" w:hAnsi="Times New Roman" w:eastAsia="Times New Roman" w:cs="Times New Roman"/>
      <w:b/>
      <w:bCs/>
      <w:sz w:val="24"/>
      <w:szCs w:val="24"/>
    </w:rPr>
  </w:style>
  <w:style w:type="paragraph" w:customStyle="1" w:styleId="187">
    <w:name w:val="xl119"/>
    <w:basedOn w:val="1"/>
    <w:qFormat/>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customStyle="1" w:styleId="188">
    <w:name w:val="xl120"/>
    <w:basedOn w:val="1"/>
    <w:qFormat/>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textAlignment w:val="center"/>
    </w:pPr>
    <w:rPr>
      <w:rFonts w:ascii="Times New Roman" w:hAnsi="Times New Roman" w:eastAsia="Times New Roman" w:cs="Times New Roman"/>
      <w:b/>
      <w:bCs/>
      <w:sz w:val="28"/>
      <w:szCs w:val="28"/>
    </w:rPr>
  </w:style>
  <w:style w:type="paragraph" w:customStyle="1" w:styleId="189">
    <w:name w:val="xl121"/>
    <w:basedOn w:val="1"/>
    <w:qFormat/>
    <w:uiPriority w:val="0"/>
    <w:pPr>
      <w:pBdr>
        <w:top w:val="single" w:color="auto" w:sz="8" w:space="0"/>
        <w:left w:val="single" w:color="auto" w:sz="8" w:space="0"/>
        <w:bottom w:val="single" w:color="auto" w:sz="8" w:space="0"/>
        <w:right w:val="single" w:color="auto" w:sz="8" w:space="0"/>
      </w:pBdr>
      <w:shd w:val="clear" w:color="000000" w:fill="BFBFBF"/>
      <w:spacing w:before="100" w:beforeAutospacing="1" w:after="100" w:afterAutospacing="1" w:line="240" w:lineRule="auto"/>
      <w:jc w:val="center"/>
      <w:textAlignment w:val="center"/>
    </w:pPr>
    <w:rPr>
      <w:rFonts w:ascii="Times New Roman" w:hAnsi="Times New Roman" w:eastAsia="Times New Roman" w:cs="Times New Roman"/>
      <w:b/>
      <w:bCs/>
      <w:sz w:val="28"/>
      <w:szCs w:val="28"/>
    </w:rPr>
  </w:style>
  <w:style w:type="table" w:customStyle="1" w:styleId="190">
    <w:name w:val="Table Grid8"/>
    <w:basedOn w:val="12"/>
    <w:qFormat/>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1">
    <w:name w:val="Table Grid9"/>
    <w:basedOn w:val="12"/>
    <w:qFormat/>
    <w:uiPriority w:val="5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2">
    <w:name w:val="Table Grid10"/>
    <w:basedOn w:val="12"/>
    <w:qFormat/>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3">
    <w:name w:val="Table Grid11"/>
    <w:basedOn w:val="12"/>
    <w:qFormat/>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4">
    <w:name w:val="Table Grid12"/>
    <w:basedOn w:val="12"/>
    <w:qFormat/>
    <w:uiPriority w:val="5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5">
    <w:name w:val="Table Normal11"/>
    <w:semiHidden/>
    <w:unhideWhenUsed/>
    <w:qFormat/>
    <w:uiPriority w:val="2"/>
    <w:pPr>
      <w:widowControl w:val="0"/>
      <w:autoSpaceDE w:val="0"/>
      <w:autoSpaceDN w:val="0"/>
      <w:spacing w:after="0" w:line="240" w:lineRule="auto"/>
    </w:pPr>
    <w:rPr>
      <w:rFonts w:cs="Times New Roman"/>
      <w:lang w:val="en-US" w:eastAsia="en-US"/>
    </w:rPr>
    <w:tblPr>
      <w:tblCellMar>
        <w:top w:w="0" w:type="dxa"/>
        <w:left w:w="0" w:type="dxa"/>
        <w:bottom w:w="0" w:type="dxa"/>
        <w:right w:w="0" w:type="dxa"/>
      </w:tblCellMar>
    </w:tblPr>
  </w:style>
  <w:style w:type="table" w:customStyle="1" w:styleId="196">
    <w:name w:val="Table Grid13"/>
    <w:basedOn w:val="12"/>
    <w:qFormat/>
    <w:uiPriority w:val="39"/>
    <w:pPr>
      <w:spacing w:after="0" w:line="240" w:lineRule="auto"/>
    </w:pPr>
    <w:rPr>
      <w:rFonts w:asciiTheme="minorHAnsi" w:hAnsiTheme="minorHAnsi" w:eastAsiaTheme="minorHAnsi" w:cstheme="minorBid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7">
    <w:name w:val="Table Grid14"/>
    <w:basedOn w:val="12"/>
    <w:qFormat/>
    <w:uiPriority w:val="3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98">
    <w:name w:val="font61"/>
    <w:qFormat/>
    <w:uiPriority w:val="0"/>
    <w:rPr>
      <w:rFonts w:hint="eastAsia" w:ascii="Malgun Gothic" w:hAnsi="Malgun Gothic" w:eastAsia="Malgun Gothic" w:cs="Malgun Gothic"/>
      <w:color w:val="000000"/>
      <w:sz w:val="14"/>
      <w:szCs w:val="14"/>
      <w:u w:val="none"/>
    </w:rPr>
  </w:style>
  <w:style w:type="character" w:customStyle="1" w:styleId="199">
    <w:name w:val="font91"/>
    <w:qFormat/>
    <w:uiPriority w:val="0"/>
    <w:rPr>
      <w:rFonts w:hint="eastAsia" w:ascii="Malgun Gothic" w:hAnsi="Malgun Gothic" w:eastAsia="Malgun Gothic" w:cs="Malgun Gothic"/>
      <w:b/>
      <w:bCs/>
      <w:color w:val="000000"/>
      <w:sz w:val="14"/>
      <w:szCs w:val="14"/>
      <w:u w:val="none"/>
    </w:rPr>
  </w:style>
  <w:style w:type="table" w:customStyle="1" w:styleId="200">
    <w:name w:val="Tabla con cuadrícula6111"/>
    <w:qFormat/>
    <w:uiPriority w:val="59"/>
    <w:pPr>
      <w:spacing w:after="0" w:line="240" w:lineRule="auto"/>
    </w:pPr>
    <w:rPr>
      <w:rFonts w:cs="Times New Roman"/>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3.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200DBF-F579-427F-AF99-66E8BD114319}">
  <ds:schemaRefs/>
</ds:datastoreItem>
</file>

<file path=customXml/itemProps3.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Template>
  <Pages>10</Pages>
  <Words>8387</Words>
  <Characters>46132</Characters>
  <Lines>384</Lines>
  <Paragraphs>108</Paragraphs>
  <TotalTime>11</TotalTime>
  <ScaleCrop>false</ScaleCrop>
  <LinksUpToDate>false</LinksUpToDate>
  <CharactersWithSpaces>54411</CharactersWithSpaces>
  <Application>WPS Office_12.2.0.17153_F1E327BC-269C-435d-A152-05C5408002CA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2024-04-30T21:39:00Z</dcterms:created>
  <dc:creator>Alejandra</dc:creator>
  <cp:lastModifiedBy>TLJ0321</cp:lastModifiedBy>
  <cp:lastPrinted>2024-07-26T19:17:24Z</cp:lastPrinted>
  <dcterms:modified xsi:type="dcterms:W3CDTF">2024-07-26T19:20:14Z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2058-12.2.0.17153</vt:lpwstr>
  </property>
  <property fmtid="{D5CDD505-2E9C-101B-9397-08002B2CF9AE}" pid="3" name="ICV">
    <vt:lpwstr>0AEA682885FF4D6F908BD3745E73E2ED_13</vt:lpwstr>
  </property>
</Properties>
</file>