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7B685F54"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1E25A959" w:rsidR="000B16A4" w:rsidRPr="0059248E" w:rsidRDefault="00612520"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-43/2021</w:t>
      </w:r>
    </w:p>
    <w:p w14:paraId="7FA3ADE0" w14:textId="49A1F4A4"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D153B3">
        <w:rPr>
          <w:rFonts w:ascii="Arial" w:hAnsi="Arial" w:cs="Arial"/>
          <w:b/>
          <w:iCs/>
        </w:rPr>
        <w:t>ADQUISICIÓN DEL SERVICIO DE OPERACIÓN Y MANTENIMIENTO DE PLANTAS DE TRATAMIENTO PARA LA DIRECCIÓN GENERAL DE AGUA POTABLE Y SANEAMIENTO DEL MUNICIPIO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2AD3DCC2"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230773">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D153B3">
        <w:rPr>
          <w:rFonts w:ascii="Arial" w:hAnsi="Arial" w:cs="Arial"/>
          <w:b/>
          <w:iCs/>
        </w:rPr>
        <w:t>ADQUISICIÓN DEL SERVICIO DE OPERACIÓN Y MANTENIMIENTO DE PLANTAS DE TRATAMIENTO PARA LA DIRECCIÓN GENERAL DE AGUA POTABLE Y SANEAMIENTO DEL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64786866" w:rsidR="000B16A4" w:rsidRPr="0059248E" w:rsidRDefault="00612520" w:rsidP="00BB3DE9">
            <w:pPr>
              <w:spacing w:after="0"/>
              <w:jc w:val="both"/>
              <w:rPr>
                <w:rFonts w:ascii="Arial" w:hAnsi="Arial" w:cs="Arial"/>
              </w:rPr>
            </w:pPr>
            <w:proofErr w:type="spellStart"/>
            <w:r>
              <w:rPr>
                <w:rFonts w:ascii="Arial" w:hAnsi="Arial" w:cs="Arial"/>
              </w:rPr>
              <w:t>OM</w:t>
            </w:r>
            <w:proofErr w:type="spellEnd"/>
            <w:r>
              <w:rPr>
                <w:rFonts w:ascii="Arial" w:hAnsi="Arial" w:cs="Arial"/>
              </w:rPr>
              <w:t>-43/2021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3CF4AA20" w:rsidR="000B16A4" w:rsidRPr="0059248E" w:rsidRDefault="00C70AEF" w:rsidP="00612520">
            <w:pPr>
              <w:spacing w:after="0"/>
              <w:jc w:val="both"/>
              <w:rPr>
                <w:rFonts w:ascii="Arial" w:hAnsi="Arial" w:cs="Arial"/>
                <w:color w:val="000000"/>
              </w:rPr>
            </w:pPr>
            <w:r>
              <w:rPr>
                <w:rFonts w:ascii="Arial" w:hAnsi="Arial" w:cs="Arial"/>
                <w:color w:val="000000"/>
              </w:rPr>
              <w:t>$</w:t>
            </w:r>
            <w:r w:rsidR="00612520">
              <w:rPr>
                <w:rFonts w:ascii="Arial" w:hAnsi="Arial" w:cs="Arial"/>
                <w:color w:val="000000"/>
              </w:rPr>
              <w:t>2</w:t>
            </w:r>
            <w:r>
              <w:rPr>
                <w:rFonts w:ascii="Arial" w:hAnsi="Arial" w:cs="Arial"/>
                <w:color w:val="000000"/>
              </w:rPr>
              <w:t>,0</w:t>
            </w:r>
            <w:r w:rsidR="00EA2443">
              <w:rPr>
                <w:rFonts w:ascii="Arial" w:hAnsi="Arial" w:cs="Arial"/>
                <w:color w:val="000000"/>
              </w:rPr>
              <w:t>00</w:t>
            </w:r>
            <w:r w:rsidR="001C33A9"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464ED04E" w:rsidR="00612706" w:rsidRDefault="00612520" w:rsidP="00612520">
            <w:pPr>
              <w:spacing w:after="0"/>
              <w:jc w:val="both"/>
              <w:rPr>
                <w:rFonts w:ascii="Arial" w:hAnsi="Arial" w:cs="Arial"/>
                <w:color w:val="000000"/>
              </w:rPr>
            </w:pPr>
            <w:r>
              <w:rPr>
                <w:rFonts w:ascii="Arial" w:hAnsi="Arial" w:cs="Arial"/>
              </w:rPr>
              <w:t xml:space="preserve">Viernes </w:t>
            </w:r>
            <w:r w:rsidRPr="00612520">
              <w:rPr>
                <w:rFonts w:ascii="Arial" w:hAnsi="Arial" w:cs="Arial"/>
                <w:b/>
              </w:rPr>
              <w:t>10</w:t>
            </w:r>
            <w:r w:rsidR="0051645A" w:rsidRPr="00612520">
              <w:rPr>
                <w:rFonts w:ascii="Arial" w:hAnsi="Arial" w:cs="Arial"/>
                <w:b/>
              </w:rPr>
              <w:t xml:space="preserve"> </w:t>
            </w:r>
            <w:r w:rsidR="00612706" w:rsidRPr="00612520">
              <w:rPr>
                <w:rFonts w:ascii="Arial" w:hAnsi="Arial" w:cs="Arial"/>
                <w:b/>
              </w:rPr>
              <w:t>d</w:t>
            </w:r>
            <w:r w:rsidR="00612706" w:rsidRPr="006F6562">
              <w:rPr>
                <w:rFonts w:ascii="Arial" w:hAnsi="Arial" w:cs="Arial"/>
                <w:b/>
              </w:rPr>
              <w:t xml:space="preserve">e </w:t>
            </w:r>
            <w:r>
              <w:rPr>
                <w:rFonts w:ascii="Arial" w:hAnsi="Arial" w:cs="Arial"/>
                <w:b/>
              </w:rPr>
              <w:t xml:space="preserve">septiembre </w:t>
            </w:r>
            <w:r w:rsidR="00612706"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51FE1A37" w:rsidR="00612706" w:rsidRPr="0059248E" w:rsidRDefault="00612520"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septiembre</w:t>
            </w:r>
            <w:r w:rsidR="009A17EA">
              <w:rPr>
                <w:rFonts w:ascii="Arial" w:hAnsi="Arial" w:cs="Arial"/>
                <w:b/>
              </w:rPr>
              <w:t xml:space="preserve"> </w:t>
            </w:r>
            <w:r w:rsidR="009A17EA" w:rsidRPr="006F6562">
              <w:rPr>
                <w:rFonts w:ascii="Arial" w:hAnsi="Arial" w:cs="Arial"/>
                <w:b/>
              </w:rPr>
              <w:t>del 202</w:t>
            </w:r>
            <w:r w:rsidR="009A17EA">
              <w:rPr>
                <w:rFonts w:ascii="Arial" w:hAnsi="Arial" w:cs="Arial"/>
                <w:b/>
              </w:rPr>
              <w:t>1</w:t>
            </w:r>
          </w:p>
        </w:tc>
      </w:tr>
      <w:tr w:rsidR="00BE27C9" w:rsidRPr="0059248E" w14:paraId="4594E529" w14:textId="77777777" w:rsidTr="00FB703B">
        <w:trPr>
          <w:trHeight w:val="890"/>
        </w:trPr>
        <w:tc>
          <w:tcPr>
            <w:tcW w:w="5245" w:type="dxa"/>
            <w:shd w:val="clear" w:color="auto" w:fill="auto"/>
          </w:tcPr>
          <w:p w14:paraId="7F8D2341" w14:textId="61066CA4" w:rsidR="00BE27C9" w:rsidRPr="0059248E" w:rsidRDefault="00BE27C9" w:rsidP="00BB3DE9">
            <w:pPr>
              <w:spacing w:after="0"/>
              <w:jc w:val="both"/>
              <w:rPr>
                <w:rFonts w:ascii="Arial" w:hAnsi="Arial" w:cs="Arial"/>
                <w:color w:val="000000"/>
              </w:rPr>
            </w:pPr>
            <w:r w:rsidRPr="00BE27C9">
              <w:rPr>
                <w:rFonts w:ascii="Arial" w:hAnsi="Arial" w:cs="Arial"/>
                <w:color w:val="000000"/>
              </w:rPr>
              <w:t>Visita a instalaciones</w:t>
            </w:r>
          </w:p>
        </w:tc>
        <w:tc>
          <w:tcPr>
            <w:tcW w:w="4961" w:type="dxa"/>
            <w:shd w:val="clear" w:color="auto" w:fill="auto"/>
          </w:tcPr>
          <w:p w14:paraId="648E63BB" w14:textId="085D946D" w:rsidR="00BE27C9" w:rsidRDefault="00612520" w:rsidP="00612520">
            <w:pPr>
              <w:jc w:val="both"/>
              <w:rPr>
                <w:rFonts w:ascii="Arial" w:hAnsi="Arial" w:cs="Arial"/>
              </w:rPr>
            </w:pPr>
            <w:r>
              <w:rPr>
                <w:rFonts w:ascii="Arial" w:hAnsi="Arial" w:cs="Arial"/>
              </w:rPr>
              <w:t xml:space="preserve">Martes </w:t>
            </w:r>
            <w:r w:rsidRPr="00612520">
              <w:rPr>
                <w:rFonts w:ascii="Arial" w:hAnsi="Arial" w:cs="Arial"/>
                <w:b/>
              </w:rPr>
              <w:t xml:space="preserve">14 </w:t>
            </w:r>
            <w:r w:rsidR="00BA6B01" w:rsidRPr="00612520">
              <w:rPr>
                <w:rFonts w:ascii="Arial" w:hAnsi="Arial" w:cs="Arial"/>
                <w:b/>
              </w:rPr>
              <w:t xml:space="preserve">de </w:t>
            </w:r>
            <w:r w:rsidRPr="00612520">
              <w:rPr>
                <w:rFonts w:ascii="Arial" w:hAnsi="Arial" w:cs="Arial"/>
                <w:b/>
              </w:rPr>
              <w:t>septiembre</w:t>
            </w:r>
            <w:r>
              <w:rPr>
                <w:rFonts w:ascii="Arial" w:hAnsi="Arial" w:cs="Arial"/>
              </w:rPr>
              <w:t xml:space="preserve"> </w:t>
            </w:r>
            <w:r w:rsidR="00BA6B01">
              <w:rPr>
                <w:rFonts w:ascii="Arial" w:hAnsi="Arial" w:cs="Arial"/>
              </w:rPr>
              <w:t>d</w:t>
            </w:r>
            <w:r w:rsidR="00BA6B01" w:rsidRPr="00BA6B01">
              <w:rPr>
                <w:rFonts w:ascii="Arial" w:hAnsi="Arial" w:cs="Arial"/>
              </w:rPr>
              <w:t>el 2021 a las 9:00 en Planta Cruz Vieja, en la carretera a San Isidro Km. 14, localidad de Cruz Vieja.</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F49FD65" w:rsidR="00612706" w:rsidRPr="0059248E" w:rsidRDefault="00612706" w:rsidP="00612520">
            <w:pPr>
              <w:jc w:val="both"/>
              <w:rPr>
                <w:rFonts w:ascii="Arial" w:hAnsi="Arial" w:cs="Arial"/>
                <w:color w:val="000000"/>
              </w:rPr>
            </w:pPr>
            <w:r>
              <w:rPr>
                <w:rFonts w:ascii="Arial" w:hAnsi="Arial" w:cs="Arial"/>
                <w:color w:val="000000"/>
              </w:rPr>
              <w:t xml:space="preserve">Hasta el </w:t>
            </w:r>
            <w:r w:rsidR="006429A3">
              <w:rPr>
                <w:rFonts w:ascii="Arial" w:hAnsi="Arial" w:cs="Arial"/>
                <w:color w:val="000000"/>
              </w:rPr>
              <w:t>Miércoles</w:t>
            </w:r>
            <w:r w:rsidR="00612520">
              <w:rPr>
                <w:rFonts w:ascii="Arial" w:hAnsi="Arial" w:cs="Arial"/>
                <w:color w:val="000000"/>
              </w:rPr>
              <w:t xml:space="preserve"> </w:t>
            </w:r>
            <w:r w:rsidR="00612520">
              <w:rPr>
                <w:rFonts w:ascii="Arial" w:hAnsi="Arial" w:cs="Arial"/>
                <w:b/>
                <w:color w:val="000000"/>
              </w:rPr>
              <w:t>15</w:t>
            </w:r>
            <w:r w:rsidR="00FB703B" w:rsidRPr="00612520">
              <w:rPr>
                <w:rFonts w:ascii="Arial" w:hAnsi="Arial" w:cs="Arial"/>
                <w:b/>
                <w:color w:val="000000"/>
              </w:rPr>
              <w:t xml:space="preserve"> </w:t>
            </w:r>
            <w:r w:rsidRPr="0059248E">
              <w:rPr>
                <w:rFonts w:ascii="Arial" w:hAnsi="Arial" w:cs="Arial"/>
                <w:b/>
                <w:color w:val="000000"/>
              </w:rPr>
              <w:t xml:space="preserve">de </w:t>
            </w:r>
            <w:r w:rsidR="00612520">
              <w:rPr>
                <w:rFonts w:ascii="Arial" w:hAnsi="Arial" w:cs="Arial"/>
                <w:b/>
                <w:color w:val="000000"/>
              </w:rPr>
              <w:t>septiembre d</w:t>
            </w:r>
            <w:r>
              <w:rPr>
                <w:rFonts w:ascii="Arial" w:hAnsi="Arial" w:cs="Arial"/>
                <w:b/>
                <w:color w:val="000000"/>
              </w:rPr>
              <w:t>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53AE0F4B" w:rsidR="00612706" w:rsidRPr="0059248E" w:rsidRDefault="006429A3" w:rsidP="00612520">
            <w:pPr>
              <w:jc w:val="both"/>
              <w:rPr>
                <w:rFonts w:ascii="Arial" w:hAnsi="Arial" w:cs="Arial"/>
                <w:color w:val="000000"/>
              </w:rPr>
            </w:pPr>
            <w:r>
              <w:rPr>
                <w:rFonts w:ascii="Arial" w:hAnsi="Arial" w:cs="Arial"/>
                <w:color w:val="000000"/>
              </w:rPr>
              <w:t>Viernes</w:t>
            </w:r>
            <w:r w:rsidR="00A77CAF">
              <w:rPr>
                <w:rFonts w:ascii="Arial" w:hAnsi="Arial" w:cs="Arial"/>
                <w:color w:val="000000"/>
              </w:rPr>
              <w:t xml:space="preserve"> </w:t>
            </w:r>
            <w:r w:rsidR="00612520">
              <w:rPr>
                <w:rFonts w:ascii="Arial" w:hAnsi="Arial" w:cs="Arial"/>
                <w:b/>
                <w:color w:val="000000"/>
              </w:rPr>
              <w:t xml:space="preserve">17 </w:t>
            </w:r>
            <w:r w:rsidR="00612706" w:rsidRPr="0059248E">
              <w:rPr>
                <w:rFonts w:ascii="Arial" w:hAnsi="Arial" w:cs="Arial"/>
                <w:b/>
                <w:color w:val="000000"/>
              </w:rPr>
              <w:t>de</w:t>
            </w:r>
            <w:r w:rsidR="00612520">
              <w:rPr>
                <w:rFonts w:ascii="Arial" w:hAnsi="Arial" w:cs="Arial"/>
                <w:b/>
                <w:color w:val="000000"/>
              </w:rPr>
              <w:t xml:space="preserve"> septiembre </w:t>
            </w:r>
            <w:r w:rsidR="0051645A">
              <w:rPr>
                <w:rFonts w:ascii="Arial" w:hAnsi="Arial" w:cs="Arial"/>
                <w:b/>
                <w:color w:val="000000"/>
              </w:rPr>
              <w:t>202</w:t>
            </w:r>
            <w:r w:rsidR="00DB2616">
              <w:rPr>
                <w:rFonts w:ascii="Arial" w:hAnsi="Arial" w:cs="Arial"/>
                <w:b/>
                <w:color w:val="000000"/>
              </w:rPr>
              <w:t>1 a las 1</w:t>
            </w:r>
            <w:r w:rsidR="00AC39C8">
              <w:rPr>
                <w:rFonts w:ascii="Arial" w:hAnsi="Arial" w:cs="Arial"/>
                <w:b/>
                <w:color w:val="000000"/>
              </w:rPr>
              <w:t>1</w:t>
            </w:r>
            <w:r w:rsidR="005269E2">
              <w:rPr>
                <w:rFonts w:ascii="Arial" w:hAnsi="Arial" w:cs="Arial"/>
                <w:b/>
                <w:color w:val="000000"/>
              </w:rPr>
              <w:t>:</w:t>
            </w:r>
            <w:r w:rsidR="009A17EA">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w:t>
            </w:r>
            <w:r w:rsidR="00612706" w:rsidRPr="0059248E">
              <w:rPr>
                <w:rFonts w:ascii="Arial" w:hAnsi="Arial" w:cs="Arial"/>
                <w:color w:val="000000"/>
              </w:rPr>
              <w:lastRenderedPageBreak/>
              <w:t>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020353E5" w:rsidR="002D6405" w:rsidRPr="0059248E" w:rsidRDefault="002D6405" w:rsidP="005C0A20">
            <w:pPr>
              <w:spacing w:after="0"/>
              <w:jc w:val="both"/>
              <w:rPr>
                <w:rFonts w:ascii="Arial" w:hAnsi="Arial" w:cs="Arial"/>
              </w:rPr>
            </w:pPr>
            <w:r w:rsidRPr="0059248E">
              <w:rPr>
                <w:rFonts w:ascii="Arial" w:hAnsi="Arial" w:cs="Arial"/>
                <w:color w:val="000000"/>
              </w:rPr>
              <w:t xml:space="preserve">La presentación de proposiciones iniciará el </w:t>
            </w:r>
            <w:r w:rsidR="006429A3">
              <w:rPr>
                <w:rFonts w:ascii="Arial" w:hAnsi="Arial" w:cs="Arial"/>
                <w:color w:val="000000"/>
              </w:rPr>
              <w:t>M</w:t>
            </w:r>
            <w:r w:rsidR="00413FDE">
              <w:rPr>
                <w:rFonts w:ascii="Arial" w:hAnsi="Arial" w:cs="Arial"/>
                <w:color w:val="000000"/>
              </w:rPr>
              <w:t>iércoles</w:t>
            </w:r>
            <w:r w:rsidRPr="0059248E">
              <w:rPr>
                <w:rFonts w:ascii="Arial" w:hAnsi="Arial" w:cs="Arial"/>
                <w:color w:val="000000"/>
              </w:rPr>
              <w:t xml:space="preserve"> </w:t>
            </w:r>
            <w:r w:rsidR="00612520">
              <w:rPr>
                <w:rFonts w:ascii="Arial" w:hAnsi="Arial" w:cs="Arial"/>
                <w:b/>
                <w:color w:val="000000"/>
              </w:rPr>
              <w:t>22</w:t>
            </w:r>
            <w:r w:rsidRPr="0059248E">
              <w:rPr>
                <w:rFonts w:ascii="Arial" w:hAnsi="Arial" w:cs="Arial"/>
                <w:b/>
                <w:color w:val="000000"/>
              </w:rPr>
              <w:t xml:space="preserve"> de </w:t>
            </w:r>
            <w:r w:rsidR="00612520">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AC39C8">
              <w:rPr>
                <w:rFonts w:ascii="Arial" w:hAnsi="Arial" w:cs="Arial"/>
                <w:b/>
                <w:color w:val="000000"/>
              </w:rPr>
              <w:t xml:space="preserve"> las 8</w:t>
            </w:r>
            <w:r w:rsidR="00C30C89">
              <w:rPr>
                <w:rFonts w:ascii="Arial" w:hAnsi="Arial" w:cs="Arial"/>
                <w:b/>
                <w:color w:val="000000"/>
              </w:rPr>
              <w:t xml:space="preserve">:00 y concluirá a las </w:t>
            </w:r>
            <w:r w:rsidR="00FC17CB">
              <w:rPr>
                <w:rFonts w:ascii="Arial" w:hAnsi="Arial" w:cs="Arial"/>
                <w:b/>
                <w:color w:val="000000"/>
              </w:rPr>
              <w:t>0</w:t>
            </w:r>
            <w:r w:rsidR="00AC39C8">
              <w:rPr>
                <w:rFonts w:ascii="Arial" w:hAnsi="Arial" w:cs="Arial"/>
                <w:b/>
                <w:color w:val="000000"/>
              </w:rPr>
              <w:t>8</w:t>
            </w:r>
            <w:r w:rsidR="008F4D92">
              <w:rPr>
                <w:rFonts w:ascii="Arial" w:hAnsi="Arial" w:cs="Arial"/>
                <w:b/>
                <w:color w:val="000000"/>
              </w:rPr>
              <w:t>:</w:t>
            </w:r>
            <w:r w:rsidR="00DD44AE">
              <w:rPr>
                <w:rFonts w:ascii="Arial" w:hAnsi="Arial" w:cs="Arial"/>
                <w:b/>
                <w:color w:val="000000"/>
              </w:rPr>
              <w:t>3</w:t>
            </w:r>
            <w:r w:rsidR="005C0A20">
              <w:rPr>
                <w:rFonts w:ascii="Arial" w:hAnsi="Arial" w:cs="Arial"/>
                <w:b/>
                <w:color w:val="000000"/>
              </w:rPr>
              <w:t>0</w:t>
            </w:r>
            <w:r w:rsidRPr="0059248E">
              <w:rPr>
                <w:rFonts w:ascii="Arial" w:hAnsi="Arial" w:cs="Arial"/>
                <w:b/>
                <w:color w:val="000000"/>
              </w:rPr>
              <w:t xml:space="preserve"> horas </w:t>
            </w:r>
            <w:r w:rsidR="001C33A9" w:rsidRPr="001C33A9">
              <w:rPr>
                <w:rFonts w:ascii="Arial" w:hAnsi="Arial" w:cs="Arial"/>
                <w:color w:val="000000"/>
              </w:rPr>
              <w:t xml:space="preserve">en el inmueble ubicado en Av. López Mateos Sur No. 1710 “B”, salón 02, Hotel </w:t>
            </w:r>
            <w:proofErr w:type="spellStart"/>
            <w:r w:rsidR="001C33A9" w:rsidRPr="001C33A9">
              <w:rPr>
                <w:rFonts w:ascii="Arial" w:hAnsi="Arial" w:cs="Arial"/>
                <w:color w:val="000000"/>
              </w:rPr>
              <w:t>Encore</w:t>
            </w:r>
            <w:proofErr w:type="spellEnd"/>
            <w:r w:rsidR="001C33A9" w:rsidRPr="001C33A9">
              <w:rPr>
                <w:rFonts w:ascii="Arial" w:hAnsi="Arial" w:cs="Arial"/>
                <w:color w:val="000000"/>
              </w:rPr>
              <w:t>, Colonia Santa Isabel, Tlajomulco de Zúñiga, Jalisco. C.P. 45645</w:t>
            </w:r>
            <w:r w:rsidR="008C42EF">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6B03D8D0" w:rsidR="002D6405" w:rsidRPr="0059248E" w:rsidRDefault="002D6405" w:rsidP="005C0A20">
            <w:pPr>
              <w:spacing w:after="0"/>
              <w:jc w:val="both"/>
              <w:rPr>
                <w:rFonts w:ascii="Arial" w:hAnsi="Arial" w:cs="Arial"/>
              </w:rPr>
            </w:pPr>
            <w:r w:rsidRPr="0059248E">
              <w:rPr>
                <w:rFonts w:ascii="Arial" w:hAnsi="Arial" w:cs="Arial"/>
                <w:color w:val="000000"/>
              </w:rPr>
              <w:t xml:space="preserve">La apertura de proposiciones iniciará el </w:t>
            </w:r>
            <w:r w:rsidR="006429A3">
              <w:rPr>
                <w:rFonts w:ascii="Arial" w:hAnsi="Arial" w:cs="Arial"/>
                <w:color w:val="000000"/>
              </w:rPr>
              <w:t>M</w:t>
            </w:r>
            <w:r w:rsidR="00413FDE">
              <w:rPr>
                <w:rFonts w:ascii="Arial" w:hAnsi="Arial" w:cs="Arial"/>
                <w:color w:val="000000"/>
              </w:rPr>
              <w:t xml:space="preserve">iércoles </w:t>
            </w:r>
            <w:r w:rsidR="00612520">
              <w:rPr>
                <w:rFonts w:ascii="Arial" w:hAnsi="Arial" w:cs="Arial"/>
                <w:b/>
                <w:color w:val="000000"/>
              </w:rPr>
              <w:t>22</w:t>
            </w:r>
            <w:r w:rsidR="00612520" w:rsidRPr="0059248E">
              <w:rPr>
                <w:rFonts w:ascii="Arial" w:hAnsi="Arial" w:cs="Arial"/>
                <w:b/>
                <w:color w:val="000000"/>
              </w:rPr>
              <w:t xml:space="preserve"> de </w:t>
            </w:r>
            <w:r w:rsidR="00612520">
              <w:rPr>
                <w:rFonts w:ascii="Arial" w:hAnsi="Arial" w:cs="Arial"/>
                <w:b/>
                <w:color w:val="000000"/>
              </w:rPr>
              <w:t xml:space="preserve">septiembre </w:t>
            </w:r>
            <w:r w:rsidR="00612520" w:rsidRPr="0059248E">
              <w:rPr>
                <w:rFonts w:ascii="Arial" w:hAnsi="Arial" w:cs="Arial"/>
                <w:b/>
                <w:color w:val="000000"/>
              </w:rPr>
              <w:t>202</w:t>
            </w:r>
            <w:r w:rsidR="00612520">
              <w:rPr>
                <w:rFonts w:ascii="Arial" w:hAnsi="Arial" w:cs="Arial"/>
                <w:b/>
                <w:color w:val="000000"/>
              </w:rPr>
              <w:t>1</w:t>
            </w:r>
            <w:r w:rsidR="00612520" w:rsidRPr="0059248E">
              <w:rPr>
                <w:rFonts w:ascii="Arial" w:hAnsi="Arial" w:cs="Arial"/>
                <w:b/>
                <w:color w:val="000000"/>
              </w:rPr>
              <w:t xml:space="preserve"> </w:t>
            </w:r>
            <w:r w:rsidR="00C30C89">
              <w:rPr>
                <w:rFonts w:ascii="Arial" w:hAnsi="Arial" w:cs="Arial"/>
                <w:b/>
                <w:color w:val="000000"/>
              </w:rPr>
              <w:t xml:space="preserve">a las </w:t>
            </w:r>
            <w:r w:rsidR="00FC17CB">
              <w:rPr>
                <w:rFonts w:ascii="Arial" w:hAnsi="Arial" w:cs="Arial"/>
                <w:b/>
                <w:color w:val="000000"/>
              </w:rPr>
              <w:t>0</w:t>
            </w:r>
            <w:r w:rsidR="00AC39C8">
              <w:rPr>
                <w:rFonts w:ascii="Arial" w:hAnsi="Arial" w:cs="Arial"/>
                <w:b/>
                <w:color w:val="000000"/>
              </w:rPr>
              <w:t>9</w:t>
            </w:r>
            <w:r w:rsidRPr="0059248E">
              <w:rPr>
                <w:rFonts w:ascii="Arial" w:hAnsi="Arial" w:cs="Arial"/>
                <w:b/>
                <w:color w:val="000000"/>
              </w:rPr>
              <w:t>:</w:t>
            </w:r>
            <w:r w:rsidR="00DD44AE">
              <w:rPr>
                <w:rFonts w:ascii="Arial" w:hAnsi="Arial" w:cs="Arial"/>
                <w:b/>
                <w:color w:val="000000"/>
              </w:rPr>
              <w:t>1</w:t>
            </w:r>
            <w:r w:rsidR="005C0A20">
              <w:rPr>
                <w:rFonts w:ascii="Arial" w:hAnsi="Arial" w:cs="Arial"/>
                <w:b/>
                <w:color w:val="000000"/>
              </w:rPr>
              <w:t>0</w:t>
            </w:r>
            <w:r w:rsidRPr="0059248E">
              <w:rPr>
                <w:rFonts w:ascii="Arial" w:hAnsi="Arial" w:cs="Arial"/>
                <w:b/>
                <w:color w:val="000000"/>
              </w:rPr>
              <w:t xml:space="preserve"> horas </w:t>
            </w:r>
            <w:r w:rsidR="001C33A9" w:rsidRPr="001C33A9">
              <w:rPr>
                <w:rFonts w:ascii="Arial" w:hAnsi="Arial" w:cs="Arial"/>
                <w:color w:val="000000"/>
              </w:rPr>
              <w:t xml:space="preserve">en el inmueble ubicado en Av. López Mateos Sur No. 1710 “B”, salón 02, Hotel </w:t>
            </w:r>
            <w:proofErr w:type="spellStart"/>
            <w:r w:rsidR="001C33A9" w:rsidRPr="001C33A9">
              <w:rPr>
                <w:rFonts w:ascii="Arial" w:hAnsi="Arial" w:cs="Arial"/>
                <w:color w:val="000000"/>
              </w:rPr>
              <w:t>Encore</w:t>
            </w:r>
            <w:proofErr w:type="spellEnd"/>
            <w:r w:rsidR="001C33A9" w:rsidRPr="001C33A9">
              <w:rPr>
                <w:rFonts w:ascii="Arial" w:hAnsi="Arial" w:cs="Arial"/>
                <w:color w:val="000000"/>
              </w:rPr>
              <w:t>, Colonia Santa Isabel, Tlajomulco de Zúñiga, Jalisco. C.P. 45645</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6405" w:rsidRPr="0059248E" w:rsidRDefault="005C0C17"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C0A20" w:rsidRDefault="002D6405" w:rsidP="00BB3DE9">
            <w:pPr>
              <w:spacing w:after="0"/>
              <w:jc w:val="both"/>
              <w:rPr>
                <w:rFonts w:ascii="Arial" w:hAnsi="Arial" w:cs="Arial"/>
                <w:lang w:val="es-ES_tradnl" w:eastAsia="es-ES"/>
              </w:rPr>
            </w:pPr>
            <w:r w:rsidRPr="005C0A20">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69B7C273" w:rsidR="002D6405" w:rsidRPr="005C0A20" w:rsidRDefault="003A507B" w:rsidP="00BB3DE9">
            <w:pPr>
              <w:spacing w:after="0"/>
              <w:jc w:val="both"/>
              <w:rPr>
                <w:rFonts w:ascii="Arial" w:hAnsi="Arial" w:cs="Arial"/>
                <w:lang w:val="es-ES_tradnl" w:eastAsia="es-ES"/>
              </w:rPr>
            </w:pPr>
            <w:r>
              <w:rPr>
                <w:rFonts w:ascii="Arial" w:hAnsi="Arial" w:cs="Arial"/>
                <w:lang w:val="es-ES_tradnl" w:eastAsia="es-ES"/>
              </w:rPr>
              <w:t>2021 -2024</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4BDF3575" w:rsidR="002D6405" w:rsidRPr="0059248E" w:rsidRDefault="005C7FC0" w:rsidP="002F3548">
            <w:pPr>
              <w:spacing w:after="0"/>
              <w:jc w:val="both"/>
              <w:rPr>
                <w:rFonts w:ascii="Arial" w:hAnsi="Arial" w:cs="Arial"/>
                <w:b/>
                <w:lang w:val="es-ES_tradnl" w:eastAsia="es-ES"/>
              </w:rPr>
            </w:pPr>
            <w:r>
              <w:rPr>
                <w:rFonts w:ascii="Arial" w:hAnsi="Arial" w:cs="Arial"/>
                <w:b/>
                <w:lang w:val="es-ES_tradnl" w:eastAsia="es-ES"/>
              </w:rPr>
              <w:t>Contrato o Pedido (</w:t>
            </w:r>
            <w:r w:rsidR="002D6405" w:rsidRPr="0059248E">
              <w:rPr>
                <w:rFonts w:ascii="Arial" w:hAnsi="Arial" w:cs="Arial"/>
                <w:b/>
                <w:lang w:val="es-ES_tradnl" w:eastAsia="es-ES"/>
              </w:rPr>
              <w:t>Orden de Compra</w:t>
            </w:r>
            <w:r>
              <w:rPr>
                <w:rFonts w:ascii="Arial" w:hAnsi="Arial" w:cs="Arial"/>
                <w:b/>
                <w:lang w:val="es-ES_tradnl" w:eastAsia="es-ES"/>
              </w:rPr>
              <w:t>)</w:t>
            </w:r>
            <w:r w:rsidR="002D6405" w:rsidRPr="0059248E">
              <w:rPr>
                <w:rFonts w:ascii="Arial" w:hAnsi="Arial" w:cs="Arial"/>
                <w:b/>
                <w:lang w:val="es-ES_tradnl" w:eastAsia="es-ES"/>
              </w:rPr>
              <w:t xml:space="preserve"> </w:t>
            </w:r>
            <w:r w:rsidR="002F3548">
              <w:rPr>
                <w:rFonts w:ascii="Arial" w:hAnsi="Arial" w:cs="Arial"/>
                <w:b/>
                <w:lang w:val="es-ES_tradnl" w:eastAsia="es-ES"/>
              </w:rPr>
              <w:t>cerrado</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1E7F1992" w:rsidR="002D6405" w:rsidRPr="0059248E" w:rsidRDefault="002D6405" w:rsidP="00EA2443">
            <w:pPr>
              <w:spacing w:after="0"/>
              <w:jc w:val="both"/>
              <w:rPr>
                <w:rFonts w:ascii="Arial" w:hAnsi="Arial" w:cs="Arial"/>
                <w:b/>
                <w:lang w:val="es-ES_tradnl" w:eastAsia="es-ES"/>
              </w:rPr>
            </w:pPr>
            <w:r w:rsidRPr="004C395D">
              <w:rPr>
                <w:rFonts w:ascii="Arial" w:hAnsi="Arial" w:cs="Arial"/>
                <w:b/>
                <w:lang w:val="es-ES_tradnl" w:eastAsia="es-ES"/>
              </w:rPr>
              <w:t>Se</w:t>
            </w:r>
            <w:r w:rsidR="005E3DD3" w:rsidRPr="004C395D">
              <w:rPr>
                <w:rFonts w:ascii="Arial" w:hAnsi="Arial" w:cs="Arial"/>
                <w:b/>
                <w:lang w:val="es-ES_tradnl" w:eastAsia="es-ES"/>
              </w:rPr>
              <w:t xml:space="preserve"> </w:t>
            </w:r>
            <w:r w:rsidR="00EA2443">
              <w:rPr>
                <w:rFonts w:ascii="Arial" w:hAnsi="Arial" w:cs="Arial"/>
                <w:b/>
                <w:lang w:val="es-ES_tradnl" w:eastAsia="es-ES"/>
              </w:rPr>
              <w:t xml:space="preserve">podrá </w:t>
            </w:r>
            <w:r w:rsidRPr="004C395D">
              <w:rPr>
                <w:rFonts w:ascii="Arial" w:hAnsi="Arial" w:cs="Arial"/>
                <w:b/>
                <w:lang w:val="es-ES_tradnl" w:eastAsia="es-ES"/>
              </w:rPr>
              <w:t>adjudicar</w:t>
            </w:r>
            <w:r w:rsidR="00C30C89" w:rsidRPr="004C395D">
              <w:rPr>
                <w:rFonts w:ascii="Arial" w:hAnsi="Arial" w:cs="Arial"/>
                <w:b/>
                <w:lang w:val="es-ES_tradnl" w:eastAsia="es-ES"/>
              </w:rPr>
              <w:t xml:space="preserve"> </w:t>
            </w:r>
            <w:r w:rsidRPr="004C395D">
              <w:rPr>
                <w:rFonts w:ascii="Arial" w:hAnsi="Arial" w:cs="Arial"/>
                <w:b/>
                <w:lang w:val="es-ES_tradnl" w:eastAsia="es-ES"/>
              </w:rPr>
              <w:t xml:space="preserve">a </w:t>
            </w:r>
            <w:r w:rsidR="00EA2443">
              <w:rPr>
                <w:rFonts w:ascii="Arial" w:hAnsi="Arial" w:cs="Arial"/>
                <w:b/>
                <w:lang w:val="es-ES_tradnl" w:eastAsia="es-ES"/>
              </w:rPr>
              <w:t xml:space="preserve">varios </w:t>
            </w:r>
            <w:r w:rsidR="003875A0">
              <w:rPr>
                <w:rFonts w:ascii="Arial" w:hAnsi="Arial" w:cs="Arial"/>
                <w:b/>
                <w:lang w:val="es-ES_tradnl" w:eastAsia="es-ES"/>
              </w:rPr>
              <w:t>l</w:t>
            </w:r>
            <w:r w:rsidR="009A0D23" w:rsidRPr="004C395D">
              <w:rPr>
                <w:rFonts w:ascii="Arial" w:hAnsi="Arial" w:cs="Arial"/>
                <w:b/>
                <w:lang w:val="es-ES_tradnl" w:eastAsia="es-ES"/>
              </w:rPr>
              <w:t>icitante</w:t>
            </w:r>
            <w:r w:rsidR="00EA2443">
              <w:rPr>
                <w:rFonts w:ascii="Arial" w:hAnsi="Arial" w:cs="Arial"/>
                <w:b/>
                <w:lang w:val="es-ES_tradnl" w:eastAsia="es-ES"/>
              </w:rPr>
              <w:t>s</w:t>
            </w:r>
            <w:r w:rsidR="001C33A9">
              <w:rPr>
                <w:rFonts w:ascii="Arial" w:hAnsi="Arial" w:cs="Arial"/>
                <w:b/>
                <w:lang w:val="es-ES_tradnl" w:eastAsia="es-ES"/>
              </w:rPr>
              <w:t>.</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Descripción detallada de los bienes o servicios con </w:t>
            </w:r>
            <w:r w:rsidRPr="0059248E">
              <w:rPr>
                <w:rFonts w:ascii="Arial" w:hAnsi="Arial" w:cs="Arial"/>
                <w:lang w:val="es-ES_tradnl" w:eastAsia="es-ES"/>
              </w:rPr>
              <w:lastRenderedPageBreak/>
              <w:t>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B1BD572"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C9CB13F"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02E8DDF"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21190E5"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14:paraId="4EF95B58" w14:textId="04809E0F" w:rsidR="002D6405" w:rsidRPr="0059248E" w:rsidRDefault="00612520" w:rsidP="001C33A9">
            <w:pPr>
              <w:spacing w:after="0"/>
              <w:jc w:val="both"/>
              <w:rPr>
                <w:rFonts w:ascii="Arial" w:hAnsi="Arial" w:cs="Arial"/>
                <w:lang w:val="es-ES_tradnl" w:eastAsia="es-ES"/>
              </w:rPr>
            </w:pPr>
            <w:r>
              <w:rPr>
                <w:rFonts w:ascii="Arial" w:hAnsi="Arial" w:cs="Arial"/>
                <w:lang w:val="es-ES_tradnl" w:eastAsia="es-ES"/>
              </w:rPr>
              <w:t>Normal: 12</w:t>
            </w:r>
            <w:r w:rsidR="002D6405" w:rsidRPr="0059248E">
              <w:rPr>
                <w:rFonts w:ascii="Arial" w:hAnsi="Arial" w:cs="Arial"/>
                <w:lang w:val="es-ES_tradnl" w:eastAsia="es-ES"/>
              </w:rPr>
              <w:t xml:space="preserve"> días (</w:t>
            </w:r>
            <w:r w:rsidR="001C33A9">
              <w:rPr>
                <w:rFonts w:ascii="Arial" w:hAnsi="Arial" w:cs="Arial"/>
                <w:lang w:val="es-ES_tradnl" w:eastAsia="es-ES"/>
              </w:rPr>
              <w:t>supera</w:t>
            </w:r>
            <w:r w:rsidR="002D6405" w:rsidRPr="0059248E">
              <w:rPr>
                <w:rFonts w:ascii="Arial" w:hAnsi="Arial" w:cs="Arial"/>
                <w:lang w:val="es-ES_tradnl" w:eastAsia="es-ES"/>
              </w:rPr>
              <w:t>)</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3E4DC3D4"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D153B3">
              <w:rPr>
                <w:rFonts w:ascii="Arial" w:eastAsia="Times New Roman" w:hAnsi="Arial" w:cs="Arial"/>
                <w:b/>
                <w:iCs/>
                <w:lang w:eastAsia="es-ES"/>
              </w:rPr>
              <w:t>ADQUISICIÓN DEL SERVICIO DE OPERACIÓN Y MANTENIMIENTO DE PLANTAS DE TRATAMIENTO PARA LA DIRECCIÓN GENERAL DE AGUA POTABLE Y SANEAMIENTO DEL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59DEFA02" w14:textId="77777777" w:rsidR="00C45C8B" w:rsidRPr="004E3A7B" w:rsidRDefault="00C45C8B" w:rsidP="00C45C8B">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A29F81D" w14:textId="77777777" w:rsidR="00C45C8B" w:rsidRPr="004E3A7B" w:rsidRDefault="00C45C8B" w:rsidP="00C45C8B">
      <w:pPr>
        <w:spacing w:after="0" w:line="240" w:lineRule="auto"/>
        <w:jc w:val="both"/>
        <w:rPr>
          <w:rFonts w:ascii="Arial" w:eastAsia="Times New Roman" w:hAnsi="Arial" w:cs="Arial"/>
          <w:sz w:val="24"/>
          <w:szCs w:val="24"/>
          <w:lang w:eastAsia="es-ES"/>
        </w:rPr>
      </w:pPr>
    </w:p>
    <w:p w14:paraId="17206520" w14:textId="77777777" w:rsidR="00C45C8B" w:rsidRPr="004E3A7B" w:rsidRDefault="00C45C8B" w:rsidP="00C45C8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50D44860" w14:textId="77777777" w:rsidR="00C45C8B" w:rsidRPr="004E3A7B" w:rsidRDefault="00C45C8B" w:rsidP="00C45C8B">
      <w:pPr>
        <w:spacing w:after="0" w:line="240" w:lineRule="auto"/>
        <w:jc w:val="center"/>
        <w:rPr>
          <w:rFonts w:ascii="Arial" w:eastAsia="Times New Roman" w:hAnsi="Arial" w:cs="Arial"/>
          <w:sz w:val="24"/>
          <w:szCs w:val="24"/>
          <w:lang w:eastAsia="es-ES"/>
        </w:rPr>
      </w:pPr>
    </w:p>
    <w:p w14:paraId="7AE97D36" w14:textId="77777777" w:rsidR="00C45C8B" w:rsidRDefault="00C45C8B" w:rsidP="00C45C8B">
      <w:pPr>
        <w:spacing w:after="0" w:line="240" w:lineRule="auto"/>
        <w:jc w:val="center"/>
        <w:rPr>
          <w:rFonts w:ascii="Arial" w:eastAsia="Times New Roman" w:hAnsi="Arial" w:cs="Arial"/>
          <w:sz w:val="24"/>
          <w:szCs w:val="24"/>
          <w:lang w:eastAsia="es-ES"/>
        </w:rPr>
      </w:pPr>
    </w:p>
    <w:p w14:paraId="6A7587DC" w14:textId="77777777" w:rsidR="00C45C8B" w:rsidRPr="004E3A7B" w:rsidRDefault="00C45C8B" w:rsidP="00C45C8B">
      <w:pPr>
        <w:spacing w:after="0" w:line="240" w:lineRule="auto"/>
        <w:jc w:val="center"/>
        <w:rPr>
          <w:rFonts w:ascii="Arial" w:eastAsia="Times New Roman" w:hAnsi="Arial" w:cs="Arial"/>
          <w:sz w:val="24"/>
          <w:szCs w:val="24"/>
          <w:lang w:eastAsia="es-ES"/>
        </w:rPr>
      </w:pPr>
    </w:p>
    <w:p w14:paraId="39E9FDE1" w14:textId="77777777" w:rsidR="00C45C8B" w:rsidRPr="004E3A7B" w:rsidRDefault="00C45C8B" w:rsidP="00C45C8B">
      <w:pPr>
        <w:spacing w:after="0" w:line="240" w:lineRule="auto"/>
        <w:jc w:val="center"/>
        <w:rPr>
          <w:rFonts w:ascii="Arial" w:eastAsia="Times New Roman" w:hAnsi="Arial" w:cs="Arial"/>
          <w:sz w:val="24"/>
          <w:szCs w:val="24"/>
          <w:lang w:eastAsia="es-ES"/>
        </w:rPr>
      </w:pPr>
    </w:p>
    <w:p w14:paraId="60BD7D59" w14:textId="77777777" w:rsidR="00C45C8B" w:rsidRPr="004E3A7B" w:rsidRDefault="00C45C8B" w:rsidP="00C45C8B">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607EACA7" w14:textId="77777777" w:rsidR="00C45C8B" w:rsidRPr="004E3A7B" w:rsidRDefault="00C45C8B" w:rsidP="00C45C8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76B25D07" w14:textId="77777777" w:rsidR="00C45C8B" w:rsidRPr="004E3A7B" w:rsidRDefault="00C45C8B" w:rsidP="00C45C8B">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del Municipio de Tlajomulco de Zúñiga, Jalisco</w:t>
      </w:r>
    </w:p>
    <w:p w14:paraId="33A7D7FF" w14:textId="77777777" w:rsidR="00C45C8B" w:rsidRPr="004E3A7B" w:rsidRDefault="00C45C8B" w:rsidP="00C45C8B">
      <w:pPr>
        <w:spacing w:after="0" w:line="240" w:lineRule="auto"/>
        <w:jc w:val="both"/>
        <w:rPr>
          <w:rFonts w:ascii="Arial" w:eastAsia="Times New Roman" w:hAnsi="Arial" w:cs="Arial"/>
          <w:sz w:val="24"/>
          <w:szCs w:val="24"/>
          <w:lang w:eastAsia="es-ES"/>
        </w:rPr>
      </w:pPr>
    </w:p>
    <w:p w14:paraId="49160E41" w14:textId="77777777" w:rsidR="00C45C8B" w:rsidRDefault="00C45C8B" w:rsidP="00C45C8B">
      <w:pPr>
        <w:spacing w:after="0"/>
        <w:jc w:val="center"/>
        <w:rPr>
          <w:rFonts w:ascii="Arial" w:hAnsi="Arial" w:cs="Arial"/>
          <w:b/>
        </w:rPr>
      </w:pPr>
    </w:p>
    <w:p w14:paraId="6E2DAB6D" w14:textId="77777777" w:rsidR="00C45C8B" w:rsidRDefault="00C45C8B" w:rsidP="00C45C8B">
      <w:pPr>
        <w:spacing w:after="0" w:line="240" w:lineRule="auto"/>
        <w:jc w:val="center"/>
        <w:rPr>
          <w:rFonts w:ascii="Arial" w:eastAsia="Times New Roman" w:hAnsi="Arial" w:cs="Arial"/>
          <w:b/>
          <w:iCs/>
          <w:lang w:eastAsia="es-ES"/>
        </w:rPr>
      </w:pPr>
    </w:p>
    <w:p w14:paraId="6916704D" w14:textId="77777777" w:rsidR="00C45C8B" w:rsidRDefault="00C45C8B" w:rsidP="00C45C8B">
      <w:pPr>
        <w:spacing w:after="0" w:line="240" w:lineRule="auto"/>
        <w:jc w:val="center"/>
        <w:rPr>
          <w:rFonts w:ascii="Arial" w:eastAsia="Times New Roman" w:hAnsi="Arial" w:cs="Arial"/>
          <w:b/>
          <w:iCs/>
          <w:lang w:eastAsia="es-ES"/>
        </w:rPr>
      </w:pPr>
    </w:p>
    <w:p w14:paraId="6E1E009D" w14:textId="77777777" w:rsidR="00C45C8B" w:rsidRDefault="00C45C8B" w:rsidP="000B16A4">
      <w:pPr>
        <w:spacing w:after="0"/>
        <w:jc w:val="center"/>
        <w:rPr>
          <w:rFonts w:ascii="Arial" w:hAnsi="Arial" w:cs="Arial"/>
          <w:b/>
        </w:rPr>
      </w:pPr>
    </w:p>
    <w:p w14:paraId="3E156482" w14:textId="660601FF" w:rsidR="000B16A4" w:rsidRPr="0059248E" w:rsidRDefault="00612520"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-43/2021</w:t>
      </w:r>
    </w:p>
    <w:p w14:paraId="55BD9A61" w14:textId="554A9725"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D153B3">
        <w:rPr>
          <w:rFonts w:ascii="Arial" w:eastAsia="Times New Roman" w:hAnsi="Arial" w:cs="Arial"/>
          <w:b/>
          <w:iCs/>
          <w:lang w:eastAsia="es-ES"/>
        </w:rPr>
        <w:t>ADQUISICIÓN DEL SERVICIO DE OPERACIÓN Y MANTENIMIENTO DE PLANTAS DE TRATAMIENTO PARA LA DIRECCIÓN GENERAL DE AGUA POTABLE Y SANEAMIENTO DEL MUNICIPIO DE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45209EE4" w14:textId="77777777" w:rsidR="00EA2443" w:rsidRPr="00F81588" w:rsidRDefault="00EA2443" w:rsidP="00EA2443">
      <w:pPr>
        <w:spacing w:after="0" w:line="240" w:lineRule="auto"/>
        <w:jc w:val="both"/>
        <w:rPr>
          <w:rFonts w:ascii="Arial" w:eastAsia="Times New Roman" w:hAnsi="Arial" w:cs="Arial"/>
          <w:lang w:eastAsia="es-ES"/>
        </w:rPr>
      </w:pPr>
      <w:r w:rsidRPr="00F81588">
        <w:rPr>
          <w:rFonts w:ascii="Arial" w:eastAsia="Times New Roman" w:hAnsi="Arial" w:cs="Arial"/>
          <w:lang w:eastAsia="es-ES"/>
        </w:rPr>
        <w:t xml:space="preserve">El Municipio de Tlajomulco de Zúñiga, Jalisco tiene el requerimiento de contratar el Servicio de Operación y Mantenimiento de Plantas </w:t>
      </w:r>
      <w:r>
        <w:rPr>
          <w:rFonts w:ascii="Arial" w:eastAsia="Times New Roman" w:hAnsi="Arial" w:cs="Arial"/>
          <w:lang w:eastAsia="es-ES"/>
        </w:rPr>
        <w:t>de Tratamiento</w:t>
      </w:r>
      <w:r w:rsidRPr="00F81588">
        <w:rPr>
          <w:rFonts w:ascii="Arial" w:eastAsia="Times New Roman" w:hAnsi="Arial" w:cs="Arial"/>
          <w:lang w:eastAsia="es-ES"/>
        </w:rPr>
        <w:t xml:space="preserve"> para la Dirección General de Agua Potable y Saneamiento del Municipio de Tlajomulco de Zúñiga, Jalisco deberá tener lo siguiente:</w:t>
      </w:r>
    </w:p>
    <w:p w14:paraId="0F7C67AC" w14:textId="77777777" w:rsidR="00EA2443" w:rsidRPr="00F81588" w:rsidRDefault="00EA2443" w:rsidP="00EA2443">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14:paraId="32A1F8F8" w14:textId="304450B0" w:rsidR="00EA2443" w:rsidRPr="00F81588" w:rsidRDefault="00EA2443" w:rsidP="00EA2443">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Asegurar el </w:t>
      </w:r>
      <w:r w:rsidR="00E24CAE">
        <w:rPr>
          <w:rFonts w:ascii="Arial" w:eastAsia="SimSun" w:hAnsi="Arial" w:cs="Arial"/>
          <w:color w:val="000000"/>
          <w:kern w:val="3"/>
          <w:lang w:eastAsia="zh-CN" w:bidi="hi-IN"/>
        </w:rPr>
        <w:t xml:space="preserve">tratamiento </w:t>
      </w:r>
      <w:r w:rsidRPr="00F81588">
        <w:rPr>
          <w:rFonts w:ascii="Arial" w:eastAsia="SimSun" w:hAnsi="Arial" w:cs="Arial"/>
          <w:color w:val="000000"/>
          <w:kern w:val="3"/>
          <w:lang w:eastAsia="zh-CN" w:bidi="hi-IN"/>
        </w:rPr>
        <w:t xml:space="preserve">continuo de Litros por Segundo de Agua en las Plantas </w:t>
      </w:r>
      <w:r>
        <w:rPr>
          <w:rFonts w:ascii="Arial" w:eastAsia="SimSun" w:hAnsi="Arial" w:cs="Arial"/>
          <w:color w:val="000000"/>
          <w:kern w:val="3"/>
          <w:lang w:eastAsia="zh-CN" w:bidi="hi-IN"/>
        </w:rPr>
        <w:t>de Tratamiento</w:t>
      </w:r>
      <w:r w:rsidRPr="00F81588">
        <w:rPr>
          <w:rFonts w:ascii="Arial" w:eastAsia="SimSun" w:hAnsi="Arial" w:cs="Arial"/>
          <w:color w:val="000000"/>
          <w:kern w:val="3"/>
          <w:lang w:eastAsia="zh-CN" w:bidi="hi-IN"/>
        </w:rPr>
        <w:t xml:space="preserve"> con su correspondiente proceso solicitado, asegurando el suministro de materiales y realizando los mantenimientos tanto preventivos como predictivos de los procesos que componen el sistema de forma oportuna</w:t>
      </w:r>
      <w:r w:rsidR="00E24CAE">
        <w:rPr>
          <w:rFonts w:ascii="Arial" w:eastAsia="SimSun" w:hAnsi="Arial" w:cs="Arial"/>
          <w:color w:val="000000"/>
          <w:kern w:val="3"/>
          <w:lang w:eastAsia="zh-CN" w:bidi="hi-IN"/>
        </w:rPr>
        <w:t>, además de las mejoras en las P</w:t>
      </w:r>
      <w:r w:rsidRPr="00F81588">
        <w:rPr>
          <w:rFonts w:ascii="Arial" w:eastAsia="SimSun" w:hAnsi="Arial" w:cs="Arial"/>
          <w:color w:val="000000"/>
          <w:kern w:val="3"/>
          <w:lang w:eastAsia="zh-CN" w:bidi="hi-IN"/>
        </w:rPr>
        <w:t>lantas descrita</w:t>
      </w:r>
      <w:r w:rsidR="00E24CAE">
        <w:rPr>
          <w:rFonts w:ascii="Arial" w:eastAsia="SimSun" w:hAnsi="Arial" w:cs="Arial"/>
          <w:color w:val="000000"/>
          <w:kern w:val="3"/>
          <w:lang w:eastAsia="zh-CN" w:bidi="hi-IN"/>
        </w:rPr>
        <w:t>s</w:t>
      </w:r>
      <w:r w:rsidRPr="00F81588">
        <w:rPr>
          <w:rFonts w:ascii="Arial" w:eastAsia="SimSun" w:hAnsi="Arial" w:cs="Arial"/>
          <w:color w:val="000000"/>
          <w:kern w:val="3"/>
          <w:lang w:eastAsia="zh-CN" w:bidi="hi-IN"/>
        </w:rPr>
        <w:t>.</w:t>
      </w:r>
    </w:p>
    <w:p w14:paraId="0AD90083" w14:textId="77777777" w:rsidR="00EA2443" w:rsidRPr="00F81588" w:rsidRDefault="00EA2443" w:rsidP="00EA2443">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14:paraId="41F560D4" w14:textId="39140276" w:rsidR="00EA2443" w:rsidRDefault="00EA2443" w:rsidP="00EA2443">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Los detalles, características y calendario de prestación de los servicios solicitados para la contratación del servicio, se describen a </w:t>
      </w:r>
      <w:r w:rsidR="00E24CAE" w:rsidRPr="00F81588">
        <w:rPr>
          <w:rFonts w:ascii="Arial" w:eastAsia="SimSun" w:hAnsi="Arial" w:cs="Arial"/>
          <w:color w:val="000000"/>
          <w:kern w:val="3"/>
          <w:lang w:eastAsia="zh-CN" w:bidi="hi-IN"/>
        </w:rPr>
        <w:t>continuació</w:t>
      </w:r>
      <w:r w:rsidR="00E24CAE">
        <w:rPr>
          <w:rFonts w:ascii="Arial" w:eastAsia="SimSun" w:hAnsi="Arial" w:cs="Arial"/>
          <w:color w:val="000000"/>
          <w:kern w:val="3"/>
          <w:lang w:eastAsia="zh-CN" w:bidi="hi-IN"/>
        </w:rPr>
        <w:t>n</w:t>
      </w:r>
      <w:r w:rsidRPr="00F81588">
        <w:rPr>
          <w:rFonts w:ascii="Arial" w:eastAsia="SimSun" w:hAnsi="Arial" w:cs="Arial"/>
          <w:color w:val="000000"/>
          <w:kern w:val="3"/>
          <w:lang w:eastAsia="zh-CN" w:bidi="hi-IN"/>
        </w:rPr>
        <w:t>:</w:t>
      </w:r>
    </w:p>
    <w:p w14:paraId="40C67718" w14:textId="77777777" w:rsidR="00EA2443" w:rsidRPr="00F81588" w:rsidRDefault="00EA2443" w:rsidP="00EA2443">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14:paraId="7D908A8A"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Los conceptos son enunciativos más no limitativos.</w:t>
      </w:r>
    </w:p>
    <w:p w14:paraId="2D1FD50F" w14:textId="55582280"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Pr>
          <w:rFonts w:ascii="Arial" w:eastAsia="SimSun" w:hAnsi="Arial" w:cs="Arial"/>
          <w:color w:val="000000"/>
          <w:kern w:val="3"/>
          <w:lang w:eastAsia="zh-CN" w:bidi="hi-IN"/>
        </w:rPr>
        <w:t>El proveedor adjudicado debe</w:t>
      </w:r>
      <w:r w:rsidRPr="00F81588">
        <w:rPr>
          <w:rFonts w:ascii="Arial" w:eastAsia="SimSun" w:hAnsi="Arial" w:cs="Arial"/>
          <w:color w:val="000000"/>
          <w:kern w:val="3"/>
          <w:lang w:eastAsia="zh-CN" w:bidi="hi-IN"/>
        </w:rPr>
        <w:t xml:space="preserve"> presentar durante el primer mes un reporte detallado por escrito del estado actual que guarda cada uno de los equipos, al momento de la recepción de estos, de ser necesario un mantenimiento correctivo se presentará la cotización para su análisis y en su caso la autorización.</w:t>
      </w:r>
    </w:p>
    <w:p w14:paraId="393D5CEB" w14:textId="2987F866"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Se define la operac</w:t>
      </w:r>
      <w:r w:rsidR="00E24CAE">
        <w:rPr>
          <w:rFonts w:ascii="Arial" w:eastAsia="SimSun" w:hAnsi="Arial" w:cs="Arial"/>
          <w:color w:val="000000"/>
          <w:kern w:val="3"/>
          <w:lang w:eastAsia="zh-CN" w:bidi="hi-IN"/>
        </w:rPr>
        <w:t xml:space="preserve">ión de planta tratamiento </w:t>
      </w:r>
      <w:r w:rsidRPr="00F81588">
        <w:rPr>
          <w:rFonts w:ascii="Arial" w:eastAsia="SimSun" w:hAnsi="Arial" w:cs="Arial"/>
          <w:color w:val="000000"/>
          <w:kern w:val="3"/>
          <w:lang w:eastAsia="zh-CN" w:bidi="hi-IN"/>
        </w:rPr>
        <w:t>como: verificar y monitorear mediante procesos fisicoquímicos, mecánicos y/o análisis de laboratorio el correcto tratamiento del agua para hacerla cumplir con la normatividad aplicable.</w:t>
      </w:r>
    </w:p>
    <w:p w14:paraId="02226D41"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El mantenimiento preventivo se entiende por el mantenimiento realizado para prevenir averías o daños, reducir desgastes, mejorar la eficiencia y prolongar la vida útil del equipo y estructuras. </w:t>
      </w:r>
    </w:p>
    <w:p w14:paraId="7DC60DD5"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mantenimiento correctivo se define de la siguiente manera: el mantenimiento basado en la reparación de averías o fallas de los equipos conforme van surgiendo.</w:t>
      </w:r>
    </w:p>
    <w:p w14:paraId="320D9F91" w14:textId="274AC038"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El proveedor requiere realizar </w:t>
      </w:r>
      <w:proofErr w:type="spellStart"/>
      <w:r w:rsidRPr="00F81588">
        <w:rPr>
          <w:rFonts w:ascii="Arial" w:eastAsia="SimSun" w:hAnsi="Arial" w:cs="Arial"/>
          <w:color w:val="000000"/>
          <w:kern w:val="3"/>
          <w:lang w:eastAsia="zh-CN" w:bidi="hi-IN"/>
        </w:rPr>
        <w:t>monitoreos</w:t>
      </w:r>
      <w:proofErr w:type="spellEnd"/>
      <w:r w:rsidRPr="00F81588">
        <w:rPr>
          <w:rFonts w:ascii="Arial" w:eastAsia="SimSun" w:hAnsi="Arial" w:cs="Arial"/>
          <w:color w:val="000000"/>
          <w:kern w:val="3"/>
          <w:lang w:eastAsia="zh-CN" w:bidi="hi-IN"/>
        </w:rPr>
        <w:t xml:space="preserve"> diarios a los parámetros más importantes y una vez por mes muestreos y análisis de </w:t>
      </w:r>
      <w:r w:rsidR="00D42525">
        <w:rPr>
          <w:rFonts w:ascii="Arial" w:eastAsia="SimSun" w:hAnsi="Arial" w:cs="Arial"/>
          <w:color w:val="000000"/>
          <w:kern w:val="3"/>
          <w:lang w:eastAsia="zh-CN" w:bidi="hi-IN"/>
        </w:rPr>
        <w:t>descargas</w:t>
      </w:r>
      <w:r w:rsidRPr="00F81588">
        <w:rPr>
          <w:rFonts w:ascii="Arial" w:eastAsia="SimSun" w:hAnsi="Arial" w:cs="Arial"/>
          <w:color w:val="000000"/>
          <w:kern w:val="3"/>
          <w:lang w:eastAsia="zh-CN" w:bidi="hi-IN"/>
        </w:rPr>
        <w:t>.</w:t>
      </w:r>
    </w:p>
    <w:p w14:paraId="4FAF398B" w14:textId="07865A03"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Todos los conceptos deberán inclu</w:t>
      </w:r>
      <w:r w:rsidR="002F26EB">
        <w:rPr>
          <w:rFonts w:ascii="Arial" w:eastAsia="SimSun" w:hAnsi="Arial" w:cs="Arial"/>
          <w:color w:val="000000"/>
          <w:kern w:val="3"/>
          <w:lang w:eastAsia="zh-CN" w:bidi="hi-IN"/>
        </w:rPr>
        <w:t>ir</w:t>
      </w:r>
      <w:r w:rsidRPr="00F81588">
        <w:rPr>
          <w:rFonts w:ascii="Arial" w:eastAsia="SimSun" w:hAnsi="Arial" w:cs="Arial"/>
          <w:color w:val="000000"/>
          <w:kern w:val="3"/>
          <w:lang w:eastAsia="zh-CN" w:bidi="hi-IN"/>
        </w:rPr>
        <w:t>: mano de obra, materiales de consumo, herramientas, refacciones en los alcances particulares o propuesta del proveedor, acarreos, elevaciones, y todo lo necesario para el correcto desarrollo y funcionamiento de los equipos e instalaciones.</w:t>
      </w:r>
    </w:p>
    <w:p w14:paraId="103F685C"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Cuando se realice un servicio, el área debe estar señalada y protegida con señalamientos de precaución en todo su proceso.</w:t>
      </w:r>
    </w:p>
    <w:p w14:paraId="6B93433F"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la totalidad de los conceptos y en todo momento deberá incluirse la limpieza, por lo que las áreas deben estar permanentemente limpias y libres de maleza.</w:t>
      </w:r>
    </w:p>
    <w:p w14:paraId="0B87C013" w14:textId="0992DB01"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Pr>
          <w:rFonts w:ascii="Arial" w:eastAsia="SimSun" w:hAnsi="Arial" w:cs="Arial"/>
          <w:color w:val="000000"/>
          <w:kern w:val="3"/>
          <w:lang w:eastAsia="zh-CN" w:bidi="hi-IN"/>
        </w:rPr>
        <w:t>El proveedor adjudicado</w:t>
      </w:r>
      <w:r w:rsidRPr="00F81588">
        <w:rPr>
          <w:rFonts w:ascii="Arial" w:eastAsia="SimSun" w:hAnsi="Arial" w:cs="Arial"/>
          <w:color w:val="000000"/>
          <w:kern w:val="3"/>
          <w:lang w:eastAsia="zh-CN" w:bidi="hi-IN"/>
        </w:rPr>
        <w:t>, deberá de contratar a un equipo técnico de base para la operación y el mantenimiento de las plantas, cubriendo un horario de servicio de 24 horas de lunes a domingo, el cual, durante todo el proceso debe contar con equipo de seguridad necesario (guantes, gafas, casco, botas, mascarilla, etc.), ropa de trabajo personalizada con el logotipo y/o nombre del proveedor o contratista y gafete de identificación personal.</w:t>
      </w:r>
    </w:p>
    <w:p w14:paraId="71E059DD" w14:textId="61E85AC0"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personal del proveedor que resulte ganador de los trabajos, estará en contacto directo con la Dirección de Calidad del Agua de la Dirección General de Agua Potable y Saneamiento y esta instancia podrá autorizar cambios o soluciones al respecto, respetando las actividades y responsabilidades contratadas especificadas en el catálogo de conceptos.</w:t>
      </w:r>
    </w:p>
    <w:p w14:paraId="46E45FA2" w14:textId="2D2D4BAA"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El </w:t>
      </w:r>
      <w:r w:rsidR="002F26EB">
        <w:rPr>
          <w:rFonts w:ascii="Arial" w:eastAsia="SimSun" w:hAnsi="Arial" w:cs="Arial"/>
          <w:color w:val="000000"/>
          <w:kern w:val="3"/>
          <w:lang w:eastAsia="zh-CN" w:bidi="hi-IN"/>
        </w:rPr>
        <w:t xml:space="preserve">proveedor </w:t>
      </w:r>
      <w:r w:rsidRPr="00F81588">
        <w:rPr>
          <w:rFonts w:ascii="Arial" w:eastAsia="SimSun" w:hAnsi="Arial" w:cs="Arial"/>
          <w:color w:val="000000"/>
          <w:kern w:val="3"/>
          <w:lang w:eastAsia="zh-CN" w:bidi="hi-IN"/>
        </w:rPr>
        <w:t xml:space="preserve">adjudicado debe presentar un reporte técnico – económico – fotográfico de las actividades más relevantes que realiza durante los trabajos de mantenimiento, como soporte para el pago de servicios, presentando el estado de los equipos y/o instalaciones, antes y después de ejecutar los trabajos correspondientes así como también el costo por metro cubico </w:t>
      </w:r>
      <w:r w:rsidR="00D42525">
        <w:rPr>
          <w:rFonts w:ascii="Arial" w:eastAsia="SimSun" w:hAnsi="Arial" w:cs="Arial"/>
          <w:color w:val="000000"/>
          <w:kern w:val="3"/>
          <w:lang w:eastAsia="zh-CN" w:bidi="hi-IN"/>
        </w:rPr>
        <w:t>tratado</w:t>
      </w:r>
      <w:r w:rsidRPr="00F81588">
        <w:rPr>
          <w:rFonts w:ascii="Arial" w:eastAsia="SimSun" w:hAnsi="Arial" w:cs="Arial"/>
          <w:color w:val="000000"/>
          <w:kern w:val="3"/>
          <w:lang w:eastAsia="zh-CN" w:bidi="hi-IN"/>
        </w:rPr>
        <w:t>, volúmenes producidos y rechazados y debe ser firmado por el Director de Calidad del Agua, indicando: fecha, nombre y sello (en su caso).</w:t>
      </w:r>
    </w:p>
    <w:p w14:paraId="42359681" w14:textId="59CAFEAA" w:rsidR="00EA2443" w:rsidRPr="00F81588" w:rsidRDefault="002F26EB"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Pr>
          <w:rFonts w:ascii="Arial" w:eastAsia="SimSun" w:hAnsi="Arial" w:cs="Arial"/>
          <w:color w:val="000000"/>
          <w:kern w:val="3"/>
          <w:lang w:eastAsia="zh-CN" w:bidi="hi-IN"/>
        </w:rPr>
        <w:t xml:space="preserve">El Proveedor </w:t>
      </w:r>
      <w:r w:rsidR="00EA2443" w:rsidRPr="00F81588">
        <w:rPr>
          <w:rFonts w:ascii="Arial" w:eastAsia="SimSun" w:hAnsi="Arial" w:cs="Arial"/>
          <w:color w:val="000000"/>
          <w:kern w:val="3"/>
          <w:lang w:eastAsia="zh-CN" w:bidi="hi-IN"/>
        </w:rPr>
        <w:t>suministrara una bitácora de servicios, en la cual se anotaran las incidencias, los pendientes, las observaciones, y recomendaciones que permitirán el mejor funcionamiento del equipo, debiendo estar firmada al final de cada nota por el Administrador y personal técnico del proveedor o contratista respectivamente.</w:t>
      </w:r>
    </w:p>
    <w:p w14:paraId="1CDBA5BD"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El proveedor debe entregar a la Dirección de Calidad del Agua el programa anual calendarizado </w:t>
      </w:r>
      <w:r w:rsidRPr="00F81588">
        <w:rPr>
          <w:rFonts w:ascii="Arial" w:eastAsia="SimSun" w:hAnsi="Arial" w:cs="Arial"/>
          <w:color w:val="000000"/>
          <w:kern w:val="3"/>
          <w:lang w:eastAsia="zh-CN" w:bidi="hi-IN"/>
        </w:rPr>
        <w:lastRenderedPageBreak/>
        <w:t>de las actividades a realizar en cada uno de los equipos de la póliza, y éste debe respetarse fielmente para tener control de cada uno de los servicios.</w:t>
      </w:r>
    </w:p>
    <w:p w14:paraId="3171F317"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La proveedor asignará personal calificado para el manejo y seguimiento del mantenimiento correctivo las 24 horas, durante la vigencia de la póliza, con una atención de falla máxima de 2 horas contadas a partir de recibido el mensaje en las oficinas de la contratista o proveedor, en caso de no recibir respuesta o no ser atendida la solicitud, la Dirección de Calidad del Agua por medio de la Dirección General de Agua Potable y Saneamiento podrá contratar a otro proveedor de la especialidad descontando el gasto generado directamente de la póliza vigente.</w:t>
      </w:r>
    </w:p>
    <w:p w14:paraId="7B87925E"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Los trabajos se realizaran con equipo y herramienta adecuados, en cada uno de los diferentes sistemas y/o equipos o áreas que conformen la póliza de mantenimiento.</w:t>
      </w:r>
    </w:p>
    <w:p w14:paraId="1B071843"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Las actividades de mantenimiento se realizaran previa coordinación Proveedor – Jefatura de Potabilización de la Dirección de Calidad del Agua en horario hábil de lunes a viernes para supervisar los trabajos realizados.</w:t>
      </w:r>
    </w:p>
    <w:p w14:paraId="7A3A7C68"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mantenimientos correctivos no se deben realizar cargos extras a la Dirección General de Agua Potable y Saneamiento por refacciones menores, materiales de consumo, instalaciones y puesto a punto de los sistemas.</w:t>
      </w:r>
    </w:p>
    <w:p w14:paraId="30C39938" w14:textId="066607C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Durante la ejecución a los servicios que requieren de un mayor número de personal del que</w:t>
      </w:r>
      <w:r w:rsidR="002F26EB">
        <w:rPr>
          <w:rFonts w:ascii="Arial" w:eastAsia="SimSun" w:hAnsi="Arial" w:cs="Arial"/>
          <w:color w:val="000000"/>
          <w:kern w:val="3"/>
          <w:lang w:eastAsia="zh-CN" w:bidi="hi-IN"/>
        </w:rPr>
        <w:t xml:space="preserve"> se encuentre, e</w:t>
      </w:r>
      <w:r w:rsidRPr="00F81588">
        <w:rPr>
          <w:rFonts w:ascii="Arial" w:eastAsia="SimSun" w:hAnsi="Arial" w:cs="Arial"/>
          <w:color w:val="000000"/>
          <w:kern w:val="3"/>
          <w:lang w:eastAsia="zh-CN" w:bidi="hi-IN"/>
        </w:rPr>
        <w:t>ste será proporcionado de manera inmediata y sin cargo adicional para la Dirección General de Agua Potable y Saneamiento.</w:t>
      </w:r>
    </w:p>
    <w:p w14:paraId="5AD9C180" w14:textId="57394A0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Cuando se tenga necesidad de realizar trabajos fuera del horario normal de trabajo por emergencia o por no interferir con las actividades del personal de la Dirección General de Agua Potable y Saneamiento, estos no deberán generar ningún costo adicional por concepto de tiempo extra, ya sea que se trate de mantenimiento preventivo y/o correctivo (previa programación de actividades), en caso de que el proveedor determine no poder realizar los trabajos, dará aviso inmediato de los motivos de su incumplimiento a la Dirección de Calidad del Agua, teniendo la facultad de otorgar </w:t>
      </w:r>
      <w:r w:rsidR="002F26EB">
        <w:rPr>
          <w:rFonts w:ascii="Arial" w:eastAsia="SimSun" w:hAnsi="Arial" w:cs="Arial"/>
          <w:color w:val="000000"/>
          <w:kern w:val="3"/>
          <w:lang w:eastAsia="zh-CN" w:bidi="hi-IN"/>
        </w:rPr>
        <w:t>los trabajos a otro</w:t>
      </w:r>
      <w:r w:rsidRPr="00F81588">
        <w:rPr>
          <w:rFonts w:ascii="Arial" w:eastAsia="SimSun" w:hAnsi="Arial" w:cs="Arial"/>
          <w:color w:val="000000"/>
          <w:kern w:val="3"/>
          <w:lang w:eastAsia="zh-CN" w:bidi="hi-IN"/>
        </w:rPr>
        <w:t xml:space="preserve"> proveedor que estas designen.</w:t>
      </w:r>
    </w:p>
    <w:p w14:paraId="6EE12244" w14:textId="570D8F0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La Dirección General de Agua Potable y Saneamiento a través de la Dirección de Cal</w:t>
      </w:r>
      <w:r w:rsidR="002F26EB">
        <w:rPr>
          <w:rFonts w:ascii="Arial" w:eastAsia="SimSun" w:hAnsi="Arial" w:cs="Arial"/>
          <w:color w:val="000000"/>
          <w:kern w:val="3"/>
          <w:lang w:eastAsia="zh-CN" w:bidi="hi-IN"/>
        </w:rPr>
        <w:t>idad del Agua, podrá solicitar al</w:t>
      </w:r>
      <w:r w:rsidRPr="00F81588">
        <w:rPr>
          <w:rFonts w:ascii="Arial" w:eastAsia="SimSun" w:hAnsi="Arial" w:cs="Arial"/>
          <w:color w:val="000000"/>
          <w:kern w:val="3"/>
          <w:lang w:eastAsia="zh-CN" w:bidi="hi-IN"/>
        </w:rPr>
        <w:t xml:space="preserve"> </w:t>
      </w:r>
      <w:r w:rsidR="002F26EB">
        <w:rPr>
          <w:rFonts w:ascii="Arial" w:eastAsia="SimSun" w:hAnsi="Arial" w:cs="Arial"/>
          <w:color w:val="000000"/>
          <w:kern w:val="3"/>
          <w:lang w:eastAsia="zh-CN" w:bidi="hi-IN"/>
        </w:rPr>
        <w:t xml:space="preserve">proveedor </w:t>
      </w:r>
      <w:r w:rsidRPr="00F81588">
        <w:rPr>
          <w:rFonts w:ascii="Arial" w:eastAsia="SimSun" w:hAnsi="Arial" w:cs="Arial"/>
          <w:color w:val="000000"/>
          <w:kern w:val="3"/>
          <w:lang w:eastAsia="zh-CN" w:bidi="hi-IN"/>
        </w:rPr>
        <w:t>asesoría y soporte técnico, en operación y compra de equipo en caso necesario sin que se genere costo extra.</w:t>
      </w:r>
    </w:p>
    <w:p w14:paraId="4DEC7194"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caso de mantenimiento correctivo mayor, con un tiempo superior a las 24 horas para su solución, se coordinara con la Jefatura de Potabilización de la Dirección de Calidad del Agua para una sustitución temporal del equipo cumpliendo con las mismas capacidades y características del dañado, con cargo a la Dirección General de Agua Potable y Saneamiento, siempre y cuando la falla que se presenta, sea debido al uso normal, en caso contrario, es decir si el desperfecto es por negligencia o descuido del proveedor esta sustituirá el equipo sin generar costo extra.</w:t>
      </w:r>
    </w:p>
    <w:p w14:paraId="02CE23BF" w14:textId="14CEEC11"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La garantía de servicio en partes </w:t>
      </w:r>
      <w:r w:rsidR="002F26EB">
        <w:rPr>
          <w:rFonts w:ascii="Arial" w:eastAsia="SimSun" w:hAnsi="Arial" w:cs="Arial"/>
          <w:color w:val="000000"/>
          <w:kern w:val="3"/>
          <w:lang w:eastAsia="zh-CN" w:bidi="hi-IN"/>
        </w:rPr>
        <w:t xml:space="preserve">menores y mayores que instale el proveedor </w:t>
      </w:r>
      <w:r w:rsidRPr="00F81588">
        <w:rPr>
          <w:rFonts w:ascii="Arial" w:eastAsia="SimSun" w:hAnsi="Arial" w:cs="Arial"/>
          <w:color w:val="000000"/>
          <w:kern w:val="3"/>
          <w:lang w:eastAsia="zh-CN" w:bidi="hi-IN"/>
        </w:rPr>
        <w:t>deberá cubrir el correcto funcionamiento del sistema, la calidad de los mismos, así como responder por omisiones, faltantes o vicios ocultos que pudieran seguir, con posterioridad durante el plazo de vigencia que e</w:t>
      </w:r>
      <w:r w:rsidR="002F26EB">
        <w:rPr>
          <w:rFonts w:ascii="Arial" w:eastAsia="SimSun" w:hAnsi="Arial" w:cs="Arial"/>
          <w:color w:val="000000"/>
          <w:kern w:val="3"/>
          <w:lang w:eastAsia="zh-CN" w:bidi="hi-IN"/>
        </w:rPr>
        <w:t>sta comprenda con cargo único a</w:t>
      </w:r>
      <w:r w:rsidRPr="00F81588">
        <w:rPr>
          <w:rFonts w:ascii="Arial" w:eastAsia="SimSun" w:hAnsi="Arial" w:cs="Arial"/>
          <w:color w:val="000000"/>
          <w:kern w:val="3"/>
          <w:lang w:eastAsia="zh-CN" w:bidi="hi-IN"/>
        </w:rPr>
        <w:t>l proveedor.</w:t>
      </w:r>
    </w:p>
    <w:p w14:paraId="393DF5DB" w14:textId="60F99022"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El </w:t>
      </w:r>
      <w:r w:rsidR="002F26EB">
        <w:rPr>
          <w:rFonts w:ascii="Arial" w:eastAsia="SimSun" w:hAnsi="Arial" w:cs="Arial"/>
          <w:color w:val="000000"/>
          <w:kern w:val="3"/>
          <w:lang w:eastAsia="zh-CN" w:bidi="hi-IN"/>
        </w:rPr>
        <w:t xml:space="preserve">proveedor </w:t>
      </w:r>
      <w:r w:rsidRPr="00F81588">
        <w:rPr>
          <w:rFonts w:ascii="Arial" w:eastAsia="SimSun" w:hAnsi="Arial" w:cs="Arial"/>
          <w:color w:val="000000"/>
          <w:kern w:val="3"/>
          <w:lang w:eastAsia="zh-CN" w:bidi="hi-IN"/>
        </w:rPr>
        <w:t>deberá contar con personal técnico en la especialidad, así como la herramienta e instrumentos de medición suficiente y necesaria para atender con prontitud las solicitudes de servicio y los servicios programados.</w:t>
      </w:r>
    </w:p>
    <w:p w14:paraId="190DB77E"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Los horarios de trabajo tanto de los servicios preventivos y correctivos programados, así como de las emergencias serán programadas y autorizados por la Jefatura de Potabilización de la Dirección de Calidad del Agua, a excepción de aquellos en que la Dirección de Calidad del Agua </w:t>
      </w:r>
      <w:r w:rsidRPr="00F81588">
        <w:rPr>
          <w:rFonts w:ascii="Arial" w:eastAsia="SimSun" w:hAnsi="Arial" w:cs="Arial"/>
          <w:color w:val="000000"/>
          <w:kern w:val="3"/>
          <w:lang w:eastAsia="zh-CN" w:bidi="hi-IN"/>
        </w:rPr>
        <w:lastRenderedPageBreak/>
        <w:t>tenga total injerencia sobre el inmueble y los trabajos.</w:t>
      </w:r>
    </w:p>
    <w:p w14:paraId="3E451A97"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el catálogo de conceptos se consideraran las actividades a realizar, las frecuencias pueden ser mensuales, bimestrales, trimestrales, semestrales o anuales. En la propuesta, el importe debe estar integrado por precio de cada concepto, el número de equipos y de los servicios a realizar.</w:t>
      </w:r>
    </w:p>
    <w:p w14:paraId="7C19E712"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En los servicios están incluidos los materiales de consumo necesarios como son: limpiadores, grasas, estopa, franelas, aire comprimido, etc.</w:t>
      </w:r>
    </w:p>
    <w:p w14:paraId="08C2A40A" w14:textId="381820EC"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El </w:t>
      </w:r>
      <w:r w:rsidR="002F26EB">
        <w:rPr>
          <w:rFonts w:ascii="Arial" w:eastAsia="SimSun" w:hAnsi="Arial" w:cs="Arial"/>
          <w:color w:val="000000"/>
          <w:kern w:val="3"/>
          <w:lang w:eastAsia="zh-CN" w:bidi="hi-IN"/>
        </w:rPr>
        <w:t xml:space="preserve">proveedor </w:t>
      </w:r>
      <w:r w:rsidRPr="00F81588">
        <w:rPr>
          <w:rFonts w:ascii="Arial" w:eastAsia="SimSun" w:hAnsi="Arial" w:cs="Arial"/>
          <w:color w:val="000000"/>
          <w:kern w:val="3"/>
          <w:lang w:eastAsia="zh-CN" w:bidi="hi-IN"/>
        </w:rPr>
        <w:t>debe proporcionar en el primer reporte del servicio los datos de placa del equipo y sus caracterís</w:t>
      </w:r>
      <w:r w:rsidR="002F26EB">
        <w:rPr>
          <w:rFonts w:ascii="Arial" w:eastAsia="SimSun" w:hAnsi="Arial" w:cs="Arial"/>
          <w:color w:val="000000"/>
          <w:kern w:val="3"/>
          <w:lang w:eastAsia="zh-CN" w:bidi="hi-IN"/>
        </w:rPr>
        <w:t>ticas, (marca, modelo, No. d</w:t>
      </w:r>
      <w:r w:rsidRPr="00F81588">
        <w:rPr>
          <w:rFonts w:ascii="Arial" w:eastAsia="SimSun" w:hAnsi="Arial" w:cs="Arial"/>
          <w:color w:val="000000"/>
          <w:kern w:val="3"/>
          <w:lang w:eastAsia="zh-CN" w:bidi="hi-IN"/>
        </w:rPr>
        <w:t>e serie, capacidad, velocidad, etc.) para su identificación y control de manera individual, dando origen al expediente y al historial del mismo (siempre y cuando estos hayan sido sustituidos, modernizados, reemplazados en su totalidad o parcialmente o por petición de la Jefatura de Potabilización y/o la Dirección de Calidad del Agua de la Dirección General de Agua Potable y Saneamiento).</w:t>
      </w:r>
    </w:p>
    <w:p w14:paraId="2E1BC8E9" w14:textId="77777777"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El personal del proveedor registrara todas sus entradas y salidas en las bitácoras de obra (proporcionadas por el proveedor) ubicadas en las mismas.</w:t>
      </w:r>
    </w:p>
    <w:p w14:paraId="7AF74BBD" w14:textId="6607E186"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En el entendimiento de que </w:t>
      </w:r>
      <w:r w:rsidR="005258A9">
        <w:rPr>
          <w:rFonts w:ascii="Arial" w:eastAsia="SimSun" w:hAnsi="Arial" w:cs="Arial"/>
          <w:color w:val="000000"/>
          <w:kern w:val="3"/>
          <w:lang w:eastAsia="zh-CN" w:bidi="hi-IN"/>
        </w:rPr>
        <w:t xml:space="preserve">el contrato </w:t>
      </w:r>
      <w:r w:rsidRPr="00F81588">
        <w:rPr>
          <w:rFonts w:ascii="Arial" w:eastAsia="SimSun" w:hAnsi="Arial" w:cs="Arial"/>
          <w:color w:val="000000"/>
          <w:kern w:val="3"/>
          <w:lang w:eastAsia="zh-CN" w:bidi="hi-IN"/>
        </w:rPr>
        <w:t>tiene diferentes periodos de servicio, se realizaran los trabajos en el día o los días suficientes y necesarios para concluir los trabajos establecidos en los alca</w:t>
      </w:r>
      <w:r w:rsidR="005258A9">
        <w:rPr>
          <w:rFonts w:ascii="Arial" w:eastAsia="SimSun" w:hAnsi="Arial" w:cs="Arial"/>
          <w:color w:val="000000"/>
          <w:kern w:val="3"/>
          <w:lang w:eastAsia="zh-CN" w:bidi="hi-IN"/>
        </w:rPr>
        <w:t>nces de</w:t>
      </w:r>
      <w:r w:rsidRPr="00F81588">
        <w:rPr>
          <w:rFonts w:ascii="Arial" w:eastAsia="SimSun" w:hAnsi="Arial" w:cs="Arial"/>
          <w:color w:val="000000"/>
          <w:kern w:val="3"/>
          <w:lang w:eastAsia="zh-CN" w:bidi="hi-IN"/>
        </w:rPr>
        <w:t>l</w:t>
      </w:r>
      <w:r w:rsidR="005258A9">
        <w:rPr>
          <w:rFonts w:ascii="Arial" w:eastAsia="SimSun" w:hAnsi="Arial" w:cs="Arial"/>
          <w:color w:val="000000"/>
          <w:kern w:val="3"/>
          <w:lang w:eastAsia="zh-CN" w:bidi="hi-IN"/>
        </w:rPr>
        <w:t xml:space="preserve"> contrato</w:t>
      </w:r>
      <w:r w:rsidRPr="00F81588">
        <w:rPr>
          <w:rFonts w:ascii="Arial" w:eastAsia="SimSun" w:hAnsi="Arial" w:cs="Arial"/>
          <w:color w:val="000000"/>
          <w:kern w:val="3"/>
          <w:lang w:eastAsia="zh-CN" w:bidi="hi-IN"/>
        </w:rPr>
        <w:t>, en caso de quedar trabajos pendientes se aplicaran las penalizaciones y/o deductivas correspondientes, conforme a lo estipulado en el contrato celebrado. SI el proveedor detecta algún faltante o sobrante en los catálogos de conceptos deberá reportarlos inmediatamente a la Dirección de Calidad del Agua.</w:t>
      </w:r>
    </w:p>
    <w:p w14:paraId="7C217B3B" w14:textId="5763C07F" w:rsidR="00EA2443" w:rsidRPr="00F81588" w:rsidRDefault="00EA2443" w:rsidP="00EA2443">
      <w:pPr>
        <w:widowControl w:val="0"/>
        <w:numPr>
          <w:ilvl w:val="0"/>
          <w:numId w:val="13"/>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Dentro de los servicios de mantenimiento el proveedor deberá incluir un programa de fumigación y/o control de plagas por cada planta.</w:t>
      </w:r>
    </w:p>
    <w:p w14:paraId="2B818417" w14:textId="77777777" w:rsidR="00EA2443" w:rsidRPr="00F81588" w:rsidRDefault="00EA2443" w:rsidP="00EA2443">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14:paraId="22B5315C" w14:textId="77777777" w:rsidR="00EA2443" w:rsidRPr="00F81588" w:rsidRDefault="00EA2443" w:rsidP="00EA2443">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Condiciones, lugar y tiempo de prestación de los servicios solicitados.</w:t>
      </w:r>
    </w:p>
    <w:p w14:paraId="1C336972" w14:textId="77777777" w:rsidR="00EA2443" w:rsidRPr="002E5053" w:rsidRDefault="00EA2443" w:rsidP="00EA2443">
      <w:pPr>
        <w:widowControl w:val="0"/>
        <w:numPr>
          <w:ilvl w:val="0"/>
          <w:numId w:val="14"/>
        </w:numPr>
        <w:suppressAutoHyphens/>
        <w:autoSpaceDN w:val="0"/>
        <w:spacing w:after="0" w:line="240" w:lineRule="auto"/>
        <w:jc w:val="both"/>
        <w:textAlignment w:val="baseline"/>
        <w:rPr>
          <w:rFonts w:ascii="Arial" w:eastAsia="SimSun" w:hAnsi="Arial" w:cs="Arial"/>
          <w:color w:val="000000"/>
          <w:kern w:val="3"/>
          <w:lang w:eastAsia="zh-CN" w:bidi="hi-IN"/>
        </w:rPr>
      </w:pPr>
      <w:r w:rsidRPr="00F81588">
        <w:rPr>
          <w:rFonts w:ascii="Arial" w:eastAsia="SimSun" w:hAnsi="Arial" w:cs="Arial"/>
          <w:color w:val="000000"/>
          <w:kern w:val="3"/>
          <w:lang w:eastAsia="zh-CN" w:bidi="hi-IN"/>
        </w:rPr>
        <w:t xml:space="preserve">Quien resulte ganador, </w:t>
      </w:r>
      <w:r w:rsidRPr="002E5053">
        <w:rPr>
          <w:rFonts w:ascii="Arial" w:eastAsia="SimSun" w:hAnsi="Arial" w:cs="Arial"/>
          <w:color w:val="000000"/>
          <w:kern w:val="3"/>
          <w:lang w:eastAsia="zh-CN" w:bidi="hi-IN"/>
        </w:rPr>
        <w:t>deberá prestar el servicio en el lugar, tiempo y conforme al inciso “j” de las especificaciones señaladas en el punto anterior.</w:t>
      </w:r>
    </w:p>
    <w:p w14:paraId="7B60F7C7" w14:textId="53B3026D" w:rsidR="00EA2443" w:rsidRPr="002E5053" w:rsidRDefault="00EA2443" w:rsidP="00EA2443">
      <w:pPr>
        <w:widowControl w:val="0"/>
        <w:numPr>
          <w:ilvl w:val="0"/>
          <w:numId w:val="14"/>
        </w:numPr>
        <w:suppressAutoHyphens/>
        <w:autoSpaceDN w:val="0"/>
        <w:spacing w:after="0" w:line="240" w:lineRule="auto"/>
        <w:jc w:val="both"/>
        <w:textAlignment w:val="baseline"/>
        <w:rPr>
          <w:rFonts w:ascii="Arial" w:eastAsia="SimSun" w:hAnsi="Arial" w:cs="Arial"/>
          <w:color w:val="000000"/>
          <w:kern w:val="3"/>
          <w:lang w:eastAsia="zh-CN" w:bidi="hi-IN"/>
        </w:rPr>
      </w:pPr>
      <w:r w:rsidRPr="002E5053">
        <w:rPr>
          <w:rFonts w:ascii="Arial" w:eastAsia="SimSun" w:hAnsi="Arial" w:cs="Arial"/>
          <w:color w:val="000000"/>
          <w:kern w:val="3"/>
          <w:lang w:eastAsia="zh-CN" w:bidi="hi-IN"/>
        </w:rPr>
        <w:t xml:space="preserve">Quien resulte ganador está obligado a garantizar la prestación del servicio del 01 de </w:t>
      </w:r>
      <w:r w:rsidR="005258A9" w:rsidRPr="002E5053">
        <w:rPr>
          <w:rFonts w:ascii="Arial" w:eastAsia="SimSun" w:hAnsi="Arial" w:cs="Arial"/>
          <w:color w:val="000000"/>
          <w:kern w:val="3"/>
          <w:lang w:eastAsia="zh-CN" w:bidi="hi-IN"/>
        </w:rPr>
        <w:t xml:space="preserve">octubre del 2021 </w:t>
      </w:r>
      <w:r w:rsidRPr="002E5053">
        <w:rPr>
          <w:rFonts w:ascii="Arial" w:eastAsia="SimSun" w:hAnsi="Arial" w:cs="Arial"/>
          <w:color w:val="000000"/>
          <w:kern w:val="3"/>
          <w:lang w:eastAsia="zh-CN" w:bidi="hi-IN"/>
        </w:rPr>
        <w:t>al 3</w:t>
      </w:r>
      <w:r w:rsidR="000F296C">
        <w:rPr>
          <w:rFonts w:ascii="Arial" w:eastAsia="SimSun" w:hAnsi="Arial" w:cs="Arial"/>
          <w:color w:val="000000"/>
          <w:kern w:val="3"/>
          <w:lang w:eastAsia="zh-CN" w:bidi="hi-IN"/>
        </w:rPr>
        <w:t>0</w:t>
      </w:r>
      <w:r w:rsidRPr="002E5053">
        <w:rPr>
          <w:rFonts w:ascii="Arial" w:eastAsia="SimSun" w:hAnsi="Arial" w:cs="Arial"/>
          <w:color w:val="000000"/>
          <w:kern w:val="3"/>
          <w:lang w:eastAsia="zh-CN" w:bidi="hi-IN"/>
        </w:rPr>
        <w:t xml:space="preserve"> de </w:t>
      </w:r>
      <w:r w:rsidR="000F296C">
        <w:rPr>
          <w:rFonts w:ascii="Arial" w:eastAsia="SimSun" w:hAnsi="Arial" w:cs="Arial"/>
          <w:color w:val="000000"/>
          <w:kern w:val="3"/>
          <w:lang w:eastAsia="zh-CN" w:bidi="hi-IN"/>
        </w:rPr>
        <w:t xml:space="preserve">septiembre </w:t>
      </w:r>
      <w:r w:rsidRPr="002E5053">
        <w:rPr>
          <w:rFonts w:ascii="Arial" w:eastAsia="SimSun" w:hAnsi="Arial" w:cs="Arial"/>
          <w:color w:val="000000"/>
          <w:kern w:val="3"/>
          <w:lang w:eastAsia="zh-CN" w:bidi="hi-IN"/>
        </w:rPr>
        <w:t>de 202</w:t>
      </w:r>
      <w:r w:rsidR="000F296C">
        <w:rPr>
          <w:rFonts w:ascii="Arial" w:eastAsia="SimSun" w:hAnsi="Arial" w:cs="Arial"/>
          <w:color w:val="000000"/>
          <w:kern w:val="3"/>
          <w:lang w:eastAsia="zh-CN" w:bidi="hi-IN"/>
        </w:rPr>
        <w:t>4</w:t>
      </w:r>
      <w:r w:rsidRPr="002E5053">
        <w:rPr>
          <w:rFonts w:ascii="Arial" w:eastAsia="SimSun" w:hAnsi="Arial" w:cs="Arial"/>
          <w:color w:val="000000"/>
          <w:kern w:val="3"/>
          <w:lang w:eastAsia="zh-CN" w:bidi="hi-IN"/>
        </w:rPr>
        <w:t>.</w:t>
      </w:r>
    </w:p>
    <w:p w14:paraId="520E846E" w14:textId="77777777" w:rsidR="00EA2443" w:rsidRDefault="00EA2443" w:rsidP="00EA2443">
      <w:pPr>
        <w:spacing w:after="0" w:line="240" w:lineRule="auto"/>
        <w:jc w:val="both"/>
        <w:rPr>
          <w:rFonts w:ascii="Arial" w:eastAsia="Times New Roman" w:hAnsi="Arial" w:cs="Arial"/>
          <w:sz w:val="24"/>
          <w:szCs w:val="24"/>
          <w:lang w:eastAsia="es-ES"/>
        </w:rPr>
      </w:pPr>
    </w:p>
    <w:p w14:paraId="11FB429C" w14:textId="77777777" w:rsidR="00EA2443" w:rsidRPr="00131676" w:rsidRDefault="00EA2443" w:rsidP="00EA2443">
      <w:pPr>
        <w:spacing w:after="0" w:line="240" w:lineRule="auto"/>
        <w:jc w:val="both"/>
        <w:rPr>
          <w:rFonts w:ascii="Arial" w:eastAsia="Times New Roman" w:hAnsi="Arial" w:cs="Arial"/>
          <w:sz w:val="24"/>
          <w:szCs w:val="24"/>
          <w:lang w:eastAsia="es-ES"/>
        </w:rPr>
      </w:pPr>
    </w:p>
    <w:p w14:paraId="6F371B8F" w14:textId="77777777" w:rsidR="00EA2443" w:rsidRPr="00670AA8" w:rsidRDefault="00EA2443" w:rsidP="00EA2443">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670AA8">
        <w:rPr>
          <w:rFonts w:ascii="Arial" w:eastAsia="SimSun" w:hAnsi="Arial" w:cs="Arial"/>
          <w:color w:val="000000"/>
          <w:kern w:val="3"/>
          <w:lang w:eastAsia="zh-CN" w:bidi="hi-IN"/>
        </w:rPr>
        <w:t xml:space="preserve">Las </w:t>
      </w:r>
      <w:r>
        <w:rPr>
          <w:rFonts w:ascii="Arial" w:eastAsia="SimSun" w:hAnsi="Arial" w:cs="Arial"/>
          <w:color w:val="000000"/>
          <w:kern w:val="3"/>
          <w:lang w:eastAsia="zh-CN" w:bidi="hi-IN"/>
        </w:rPr>
        <w:t>Plantas de T</w:t>
      </w:r>
      <w:r w:rsidRPr="00670AA8">
        <w:rPr>
          <w:rFonts w:ascii="Arial" w:eastAsia="SimSun" w:hAnsi="Arial" w:cs="Arial"/>
          <w:color w:val="000000"/>
          <w:kern w:val="3"/>
          <w:lang w:eastAsia="zh-CN" w:bidi="hi-IN"/>
        </w:rPr>
        <w:t>ratamiento para el servicio de operación y mantenimiento son las siguientes:</w:t>
      </w:r>
    </w:p>
    <w:p w14:paraId="30292254" w14:textId="77777777" w:rsidR="00EA2443" w:rsidRPr="00670AA8" w:rsidRDefault="00EA2443" w:rsidP="00EA2443">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tbl>
      <w:tblPr>
        <w:tblStyle w:val="Tablaconcuadrcula41"/>
        <w:tblW w:w="0" w:type="auto"/>
        <w:jc w:val="center"/>
        <w:tblLook w:val="04A0" w:firstRow="1" w:lastRow="0" w:firstColumn="1" w:lastColumn="0" w:noHBand="0" w:noVBand="1"/>
      </w:tblPr>
      <w:tblGrid>
        <w:gridCol w:w="681"/>
        <w:gridCol w:w="3543"/>
        <w:gridCol w:w="2157"/>
      </w:tblGrid>
      <w:tr w:rsidR="00EA2443" w:rsidRPr="00EA2443" w14:paraId="7B937CF8" w14:textId="77777777" w:rsidTr="00EA2443">
        <w:trPr>
          <w:jc w:val="center"/>
        </w:trPr>
        <w:tc>
          <w:tcPr>
            <w:tcW w:w="681" w:type="dxa"/>
            <w:vAlign w:val="center"/>
          </w:tcPr>
          <w:p w14:paraId="3516C137"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No.</w:t>
            </w:r>
          </w:p>
        </w:tc>
        <w:tc>
          <w:tcPr>
            <w:tcW w:w="3543" w:type="dxa"/>
            <w:vAlign w:val="center"/>
          </w:tcPr>
          <w:p w14:paraId="44FF2682" w14:textId="58D66EAE" w:rsidR="00EA2443" w:rsidRPr="00EA2443" w:rsidRDefault="00EA2443" w:rsidP="00EA2443">
            <w:pPr>
              <w:suppressAutoHyphens/>
              <w:jc w:val="center"/>
              <w:rPr>
                <w:rFonts w:ascii="Arial" w:hAnsi="Arial" w:cs="Arial"/>
                <w:color w:val="000000"/>
              </w:rPr>
            </w:pPr>
            <w:r w:rsidRPr="00EA2443">
              <w:rPr>
                <w:rFonts w:ascii="Arial" w:hAnsi="Arial" w:cs="Arial"/>
                <w:color w:val="000000"/>
              </w:rPr>
              <w:t>Nombre</w:t>
            </w:r>
            <w:r w:rsidR="00D42525">
              <w:rPr>
                <w:rFonts w:ascii="Arial" w:hAnsi="Arial" w:cs="Arial"/>
                <w:color w:val="000000"/>
              </w:rPr>
              <w:t xml:space="preserve"> de Planta de T</w:t>
            </w:r>
            <w:r w:rsidRPr="00EA2443">
              <w:rPr>
                <w:rFonts w:ascii="Arial" w:hAnsi="Arial" w:cs="Arial"/>
                <w:color w:val="000000"/>
              </w:rPr>
              <w:t>ratamiento</w:t>
            </w:r>
          </w:p>
        </w:tc>
        <w:tc>
          <w:tcPr>
            <w:tcW w:w="2157" w:type="dxa"/>
            <w:vAlign w:val="center"/>
          </w:tcPr>
          <w:p w14:paraId="0B7526AA"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Capacidad</w:t>
            </w:r>
          </w:p>
          <w:p w14:paraId="28590EA4"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w:t>
            </w:r>
            <w:proofErr w:type="spellStart"/>
            <w:r w:rsidRPr="00EA2443">
              <w:rPr>
                <w:rFonts w:ascii="Arial" w:hAnsi="Arial" w:cs="Arial"/>
                <w:color w:val="000000"/>
              </w:rPr>
              <w:t>lps</w:t>
            </w:r>
            <w:proofErr w:type="spellEnd"/>
            <w:r w:rsidRPr="00EA2443">
              <w:rPr>
                <w:rFonts w:ascii="Arial" w:hAnsi="Arial" w:cs="Arial"/>
                <w:color w:val="000000"/>
              </w:rPr>
              <w:t>)</w:t>
            </w:r>
          </w:p>
        </w:tc>
      </w:tr>
      <w:tr w:rsidR="00EA2443" w:rsidRPr="00EA2443" w14:paraId="4E7A4C52" w14:textId="77777777" w:rsidTr="00EA2443">
        <w:trPr>
          <w:jc w:val="center"/>
        </w:trPr>
        <w:tc>
          <w:tcPr>
            <w:tcW w:w="681" w:type="dxa"/>
            <w:vAlign w:val="center"/>
          </w:tcPr>
          <w:p w14:paraId="642E3CAA"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1</w:t>
            </w:r>
          </w:p>
        </w:tc>
        <w:tc>
          <w:tcPr>
            <w:tcW w:w="3543" w:type="dxa"/>
            <w:vAlign w:val="center"/>
          </w:tcPr>
          <w:p w14:paraId="5CDA2849" w14:textId="77777777" w:rsidR="00EA2443" w:rsidRPr="00EA2443" w:rsidRDefault="00EA2443" w:rsidP="00EA2443">
            <w:pPr>
              <w:suppressAutoHyphens/>
              <w:rPr>
                <w:rFonts w:ascii="Arial" w:hAnsi="Arial" w:cs="Arial"/>
                <w:color w:val="000000"/>
              </w:rPr>
            </w:pPr>
            <w:r w:rsidRPr="00EA2443">
              <w:rPr>
                <w:rFonts w:ascii="Arial" w:hAnsi="Arial" w:cs="Arial"/>
                <w:color w:val="000000"/>
              </w:rPr>
              <w:t>San Miguel Cuyutlán</w:t>
            </w:r>
          </w:p>
        </w:tc>
        <w:tc>
          <w:tcPr>
            <w:tcW w:w="2157" w:type="dxa"/>
            <w:vAlign w:val="center"/>
          </w:tcPr>
          <w:p w14:paraId="38487341"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180</w:t>
            </w:r>
          </w:p>
        </w:tc>
      </w:tr>
      <w:tr w:rsidR="00EA2443" w:rsidRPr="00EA2443" w14:paraId="12B0801B" w14:textId="77777777" w:rsidTr="00EA2443">
        <w:trPr>
          <w:jc w:val="center"/>
        </w:trPr>
        <w:tc>
          <w:tcPr>
            <w:tcW w:w="681" w:type="dxa"/>
            <w:vAlign w:val="center"/>
          </w:tcPr>
          <w:p w14:paraId="44CEB91C"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2</w:t>
            </w:r>
          </w:p>
        </w:tc>
        <w:tc>
          <w:tcPr>
            <w:tcW w:w="3543" w:type="dxa"/>
            <w:vAlign w:val="center"/>
          </w:tcPr>
          <w:p w14:paraId="49A04069" w14:textId="77777777" w:rsidR="00EA2443" w:rsidRPr="00EA2443" w:rsidRDefault="00EA2443" w:rsidP="00EA2443">
            <w:pPr>
              <w:suppressAutoHyphens/>
              <w:rPr>
                <w:rFonts w:ascii="Arial" w:hAnsi="Arial" w:cs="Arial"/>
                <w:color w:val="000000"/>
              </w:rPr>
            </w:pPr>
            <w:proofErr w:type="spellStart"/>
            <w:r w:rsidRPr="00EA2443">
              <w:rPr>
                <w:rFonts w:ascii="Arial" w:hAnsi="Arial" w:cs="Arial"/>
                <w:color w:val="000000"/>
              </w:rPr>
              <w:t>Cajititlán</w:t>
            </w:r>
            <w:proofErr w:type="spellEnd"/>
          </w:p>
        </w:tc>
        <w:tc>
          <w:tcPr>
            <w:tcW w:w="2157" w:type="dxa"/>
            <w:vAlign w:val="center"/>
          </w:tcPr>
          <w:p w14:paraId="23D3E2CC"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32</w:t>
            </w:r>
          </w:p>
        </w:tc>
      </w:tr>
      <w:tr w:rsidR="00EA2443" w:rsidRPr="00EA2443" w14:paraId="6334D073" w14:textId="77777777" w:rsidTr="00EA2443">
        <w:trPr>
          <w:jc w:val="center"/>
        </w:trPr>
        <w:tc>
          <w:tcPr>
            <w:tcW w:w="681" w:type="dxa"/>
            <w:vAlign w:val="center"/>
          </w:tcPr>
          <w:p w14:paraId="182F570A"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3</w:t>
            </w:r>
          </w:p>
        </w:tc>
        <w:tc>
          <w:tcPr>
            <w:tcW w:w="3543" w:type="dxa"/>
            <w:vAlign w:val="center"/>
          </w:tcPr>
          <w:p w14:paraId="6B2ADC31" w14:textId="77777777" w:rsidR="00EA2443" w:rsidRPr="00EA2443" w:rsidRDefault="00EA2443" w:rsidP="00EA2443">
            <w:pPr>
              <w:suppressAutoHyphens/>
              <w:rPr>
                <w:rFonts w:ascii="Arial" w:hAnsi="Arial" w:cs="Arial"/>
                <w:color w:val="000000"/>
              </w:rPr>
            </w:pPr>
            <w:r w:rsidRPr="00EA2443">
              <w:rPr>
                <w:rFonts w:ascii="Arial" w:hAnsi="Arial" w:cs="Arial"/>
                <w:color w:val="000000"/>
              </w:rPr>
              <w:t>San Juan Evangelista</w:t>
            </w:r>
          </w:p>
        </w:tc>
        <w:tc>
          <w:tcPr>
            <w:tcW w:w="2157" w:type="dxa"/>
            <w:vAlign w:val="center"/>
          </w:tcPr>
          <w:p w14:paraId="664E4187"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12</w:t>
            </w:r>
          </w:p>
        </w:tc>
      </w:tr>
      <w:tr w:rsidR="00EA2443" w:rsidRPr="00EA2443" w14:paraId="3F8594A0" w14:textId="77777777" w:rsidTr="00EA2443">
        <w:trPr>
          <w:jc w:val="center"/>
        </w:trPr>
        <w:tc>
          <w:tcPr>
            <w:tcW w:w="681" w:type="dxa"/>
            <w:tcBorders>
              <w:bottom w:val="single" w:sz="4" w:space="0" w:color="auto"/>
            </w:tcBorders>
            <w:vAlign w:val="center"/>
          </w:tcPr>
          <w:p w14:paraId="7C2DC801"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4</w:t>
            </w:r>
          </w:p>
        </w:tc>
        <w:tc>
          <w:tcPr>
            <w:tcW w:w="3543" w:type="dxa"/>
            <w:tcBorders>
              <w:bottom w:val="single" w:sz="4" w:space="0" w:color="auto"/>
            </w:tcBorders>
            <w:vAlign w:val="center"/>
          </w:tcPr>
          <w:p w14:paraId="035ED4B7" w14:textId="77777777" w:rsidR="00EA2443" w:rsidRPr="00EA2443" w:rsidRDefault="00EA2443" w:rsidP="00EA2443">
            <w:pPr>
              <w:suppressAutoHyphens/>
              <w:rPr>
                <w:rFonts w:ascii="Arial" w:hAnsi="Arial" w:cs="Arial"/>
                <w:color w:val="000000"/>
              </w:rPr>
            </w:pPr>
            <w:proofErr w:type="spellStart"/>
            <w:r w:rsidRPr="00EA2443">
              <w:rPr>
                <w:rFonts w:ascii="Arial" w:hAnsi="Arial" w:cs="Arial"/>
                <w:color w:val="000000"/>
              </w:rPr>
              <w:t>Cuexcomatitlán</w:t>
            </w:r>
            <w:proofErr w:type="spellEnd"/>
          </w:p>
        </w:tc>
        <w:tc>
          <w:tcPr>
            <w:tcW w:w="2157" w:type="dxa"/>
            <w:tcBorders>
              <w:bottom w:val="single" w:sz="4" w:space="0" w:color="auto"/>
            </w:tcBorders>
            <w:vAlign w:val="center"/>
          </w:tcPr>
          <w:p w14:paraId="681317D1"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10</w:t>
            </w:r>
          </w:p>
        </w:tc>
      </w:tr>
      <w:tr w:rsidR="00EA2443" w:rsidRPr="00EA2443" w14:paraId="1A4BEAFC" w14:textId="77777777" w:rsidTr="00EA2443">
        <w:trPr>
          <w:jc w:val="center"/>
        </w:trPr>
        <w:tc>
          <w:tcPr>
            <w:tcW w:w="681" w:type="dxa"/>
            <w:tcBorders>
              <w:bottom w:val="single" w:sz="2" w:space="0" w:color="auto"/>
            </w:tcBorders>
            <w:vAlign w:val="center"/>
          </w:tcPr>
          <w:p w14:paraId="02A3A6F4"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5</w:t>
            </w:r>
          </w:p>
        </w:tc>
        <w:tc>
          <w:tcPr>
            <w:tcW w:w="3543" w:type="dxa"/>
            <w:tcBorders>
              <w:bottom w:val="single" w:sz="2" w:space="0" w:color="auto"/>
            </w:tcBorders>
            <w:vAlign w:val="center"/>
          </w:tcPr>
          <w:p w14:paraId="5B489689" w14:textId="77777777" w:rsidR="00EA2443" w:rsidRPr="00EA2443" w:rsidRDefault="00EA2443" w:rsidP="00EA2443">
            <w:pPr>
              <w:suppressAutoHyphens/>
              <w:rPr>
                <w:rFonts w:ascii="Arial" w:hAnsi="Arial" w:cs="Arial"/>
                <w:color w:val="000000"/>
              </w:rPr>
            </w:pPr>
            <w:r w:rsidRPr="00EA2443">
              <w:rPr>
                <w:rFonts w:ascii="Arial" w:hAnsi="Arial" w:cs="Arial"/>
                <w:color w:val="000000"/>
              </w:rPr>
              <w:t>Los Agaves</w:t>
            </w:r>
          </w:p>
        </w:tc>
        <w:tc>
          <w:tcPr>
            <w:tcW w:w="2157" w:type="dxa"/>
            <w:tcBorders>
              <w:bottom w:val="single" w:sz="2" w:space="0" w:color="auto"/>
            </w:tcBorders>
            <w:vAlign w:val="center"/>
          </w:tcPr>
          <w:p w14:paraId="0AC3F2F2" w14:textId="77777777" w:rsidR="00EA2443" w:rsidRPr="00EA2443" w:rsidRDefault="00EA2443" w:rsidP="00EA2443">
            <w:pPr>
              <w:suppressAutoHyphens/>
              <w:jc w:val="center"/>
              <w:rPr>
                <w:rFonts w:ascii="Arial" w:hAnsi="Arial" w:cs="Arial"/>
                <w:color w:val="000000"/>
              </w:rPr>
            </w:pPr>
            <w:r w:rsidRPr="00EA2443">
              <w:rPr>
                <w:rFonts w:ascii="Arial" w:hAnsi="Arial" w:cs="Arial"/>
                <w:color w:val="000000"/>
              </w:rPr>
              <w:t>60</w:t>
            </w:r>
          </w:p>
        </w:tc>
      </w:tr>
    </w:tbl>
    <w:tbl>
      <w:tblPr>
        <w:tblStyle w:val="Tablaconcuadrcula51"/>
        <w:tblW w:w="0" w:type="auto"/>
        <w:jc w:val="center"/>
        <w:tblLook w:val="04A0" w:firstRow="1" w:lastRow="0" w:firstColumn="1" w:lastColumn="0" w:noHBand="0" w:noVBand="1"/>
      </w:tblPr>
      <w:tblGrid>
        <w:gridCol w:w="681"/>
        <w:gridCol w:w="3543"/>
        <w:gridCol w:w="2157"/>
      </w:tblGrid>
      <w:tr w:rsidR="00EA2443" w:rsidRPr="00670AA8" w14:paraId="2EE51C71" w14:textId="77777777" w:rsidTr="00EA2443">
        <w:trPr>
          <w:jc w:val="center"/>
        </w:trPr>
        <w:tc>
          <w:tcPr>
            <w:tcW w:w="681" w:type="dxa"/>
            <w:tcBorders>
              <w:top w:val="single" w:sz="2" w:space="0" w:color="auto"/>
            </w:tcBorders>
            <w:vAlign w:val="center"/>
          </w:tcPr>
          <w:p w14:paraId="6D827A72" w14:textId="77777777" w:rsidR="00EA2443" w:rsidRPr="00670AA8" w:rsidRDefault="00EA2443" w:rsidP="00EA2443">
            <w:pPr>
              <w:suppressAutoHyphens/>
              <w:jc w:val="center"/>
              <w:rPr>
                <w:rFonts w:ascii="Arial" w:hAnsi="Arial" w:cs="Arial"/>
                <w:color w:val="000000"/>
              </w:rPr>
            </w:pPr>
            <w:r w:rsidRPr="00670AA8">
              <w:rPr>
                <w:rFonts w:ascii="Arial" w:hAnsi="Arial" w:cs="Arial"/>
                <w:color w:val="000000"/>
              </w:rPr>
              <w:t>6</w:t>
            </w:r>
          </w:p>
        </w:tc>
        <w:tc>
          <w:tcPr>
            <w:tcW w:w="3543" w:type="dxa"/>
            <w:tcBorders>
              <w:top w:val="single" w:sz="2" w:space="0" w:color="auto"/>
            </w:tcBorders>
            <w:vAlign w:val="center"/>
          </w:tcPr>
          <w:p w14:paraId="41A04A65" w14:textId="77777777" w:rsidR="00EA2443" w:rsidRPr="00670AA8" w:rsidRDefault="00EA2443" w:rsidP="00EA2443">
            <w:pPr>
              <w:suppressAutoHyphens/>
              <w:rPr>
                <w:rFonts w:ascii="Arial" w:hAnsi="Arial" w:cs="Arial"/>
                <w:color w:val="000000"/>
              </w:rPr>
            </w:pPr>
            <w:proofErr w:type="spellStart"/>
            <w:r w:rsidRPr="00670AA8">
              <w:rPr>
                <w:rFonts w:ascii="Arial" w:hAnsi="Arial" w:cs="Arial"/>
                <w:color w:val="000000"/>
              </w:rPr>
              <w:t>Arvento</w:t>
            </w:r>
            <w:proofErr w:type="spellEnd"/>
          </w:p>
        </w:tc>
        <w:tc>
          <w:tcPr>
            <w:tcW w:w="2157" w:type="dxa"/>
            <w:tcBorders>
              <w:top w:val="single" w:sz="2" w:space="0" w:color="auto"/>
            </w:tcBorders>
            <w:vAlign w:val="center"/>
          </w:tcPr>
          <w:p w14:paraId="3D52DC95" w14:textId="77777777" w:rsidR="00EA2443" w:rsidRPr="00670AA8" w:rsidRDefault="00EA2443" w:rsidP="00EA2443">
            <w:pPr>
              <w:suppressAutoHyphens/>
              <w:jc w:val="center"/>
              <w:rPr>
                <w:rFonts w:ascii="Arial" w:hAnsi="Arial" w:cs="Arial"/>
                <w:color w:val="000000"/>
              </w:rPr>
            </w:pPr>
            <w:r w:rsidRPr="00670AA8">
              <w:rPr>
                <w:rFonts w:ascii="Arial" w:hAnsi="Arial" w:cs="Arial"/>
                <w:color w:val="000000"/>
              </w:rPr>
              <w:t>100</w:t>
            </w:r>
          </w:p>
        </w:tc>
      </w:tr>
      <w:tr w:rsidR="00EA2443" w:rsidRPr="00670AA8" w14:paraId="6C8D0D57" w14:textId="77777777" w:rsidTr="00EA2443">
        <w:trPr>
          <w:jc w:val="center"/>
        </w:trPr>
        <w:tc>
          <w:tcPr>
            <w:tcW w:w="681" w:type="dxa"/>
            <w:vAlign w:val="center"/>
          </w:tcPr>
          <w:p w14:paraId="2680EC80" w14:textId="77777777" w:rsidR="00EA2443" w:rsidRPr="00670AA8" w:rsidRDefault="00EA2443" w:rsidP="00EA2443">
            <w:pPr>
              <w:suppressAutoHyphens/>
              <w:jc w:val="center"/>
              <w:rPr>
                <w:rFonts w:ascii="Arial" w:hAnsi="Arial" w:cs="Arial"/>
                <w:color w:val="000000"/>
              </w:rPr>
            </w:pPr>
            <w:r w:rsidRPr="00670AA8">
              <w:rPr>
                <w:rFonts w:ascii="Arial" w:hAnsi="Arial" w:cs="Arial"/>
                <w:color w:val="000000"/>
              </w:rPr>
              <w:t>7</w:t>
            </w:r>
          </w:p>
        </w:tc>
        <w:tc>
          <w:tcPr>
            <w:tcW w:w="3543" w:type="dxa"/>
            <w:vAlign w:val="center"/>
          </w:tcPr>
          <w:p w14:paraId="3AFDAEFC" w14:textId="77777777" w:rsidR="00EA2443" w:rsidRPr="00670AA8" w:rsidRDefault="00EA2443" w:rsidP="00EA2443">
            <w:pPr>
              <w:suppressAutoHyphens/>
              <w:rPr>
                <w:rFonts w:ascii="Arial" w:hAnsi="Arial" w:cs="Arial"/>
                <w:color w:val="000000"/>
              </w:rPr>
            </w:pPr>
            <w:r w:rsidRPr="00670AA8">
              <w:rPr>
                <w:rFonts w:ascii="Arial" w:hAnsi="Arial" w:cs="Arial"/>
                <w:color w:val="000000"/>
              </w:rPr>
              <w:t>Santa Cruz de las Flores</w:t>
            </w:r>
          </w:p>
        </w:tc>
        <w:tc>
          <w:tcPr>
            <w:tcW w:w="2157" w:type="dxa"/>
            <w:vAlign w:val="center"/>
          </w:tcPr>
          <w:p w14:paraId="312ED423" w14:textId="77777777" w:rsidR="00EA2443" w:rsidRPr="00670AA8" w:rsidRDefault="00EA2443" w:rsidP="00EA2443">
            <w:pPr>
              <w:suppressAutoHyphens/>
              <w:jc w:val="center"/>
              <w:rPr>
                <w:rFonts w:ascii="Arial" w:hAnsi="Arial" w:cs="Arial"/>
                <w:color w:val="000000"/>
              </w:rPr>
            </w:pPr>
            <w:r w:rsidRPr="00670AA8">
              <w:rPr>
                <w:rFonts w:ascii="Arial" w:hAnsi="Arial" w:cs="Arial"/>
                <w:color w:val="000000"/>
              </w:rPr>
              <w:t>100</w:t>
            </w:r>
          </w:p>
        </w:tc>
      </w:tr>
    </w:tbl>
    <w:p w14:paraId="7A45BF82" w14:textId="77777777" w:rsidR="00EA2443" w:rsidRPr="00670AA8" w:rsidRDefault="00EA2443" w:rsidP="00EA2443">
      <w:pPr>
        <w:spacing w:after="0" w:line="240" w:lineRule="auto"/>
        <w:jc w:val="both"/>
        <w:rPr>
          <w:rFonts w:ascii="Arial" w:eastAsia="Times New Roman" w:hAnsi="Arial" w:cs="Arial"/>
          <w:sz w:val="20"/>
          <w:szCs w:val="20"/>
          <w:lang w:eastAsia="es-ES"/>
        </w:rPr>
      </w:pPr>
    </w:p>
    <w:p w14:paraId="3A5F0759" w14:textId="77777777" w:rsidR="008235F3" w:rsidRDefault="008235F3" w:rsidP="000B16A4">
      <w:pPr>
        <w:spacing w:after="0" w:line="240" w:lineRule="auto"/>
        <w:jc w:val="both"/>
        <w:rPr>
          <w:rFonts w:ascii="Arial" w:eastAsia="Times New Roman" w:hAnsi="Arial" w:cs="Arial"/>
          <w:sz w:val="20"/>
          <w:szCs w:val="20"/>
          <w:lang w:eastAsia="es-ES"/>
        </w:rPr>
      </w:pPr>
    </w:p>
    <w:p w14:paraId="6AA9B2B4" w14:textId="77777777" w:rsidR="008235F3" w:rsidRDefault="008235F3" w:rsidP="000B16A4">
      <w:pPr>
        <w:spacing w:after="0" w:line="240" w:lineRule="auto"/>
        <w:jc w:val="both"/>
        <w:rPr>
          <w:rFonts w:ascii="Arial" w:eastAsia="Times New Roman" w:hAnsi="Arial" w:cs="Arial"/>
          <w:sz w:val="20"/>
          <w:szCs w:val="20"/>
          <w:lang w:eastAsia="es-ES"/>
        </w:rPr>
      </w:pPr>
    </w:p>
    <w:p w14:paraId="6EB9C53B" w14:textId="77777777" w:rsidR="00281D16" w:rsidRPr="00CE5A09" w:rsidRDefault="00281D16" w:rsidP="00281D16">
      <w:pPr>
        <w:pStyle w:val="Textoindependiente"/>
        <w:rPr>
          <w:rFonts w:ascii="Arial" w:hAnsi="Arial" w:cs="Arial"/>
          <w:sz w:val="20"/>
        </w:rPr>
      </w:pPr>
    </w:p>
    <w:p w14:paraId="67D049FD" w14:textId="77777777" w:rsidR="00281D16" w:rsidRPr="00CE5A09" w:rsidRDefault="00281D16" w:rsidP="00281D16">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CE5A09">
        <w:rPr>
          <w:rFonts w:ascii="Arial" w:eastAsia="SimSun" w:hAnsi="Arial" w:cs="Arial"/>
          <w:color w:val="000000"/>
          <w:kern w:val="3"/>
          <w:lang w:eastAsia="zh-CN" w:bidi="hi-IN"/>
        </w:rPr>
        <w:t>Mejoras en plantas:</w:t>
      </w:r>
    </w:p>
    <w:p w14:paraId="3CB35BEE" w14:textId="77777777" w:rsidR="00281D16" w:rsidRPr="00CE5A09" w:rsidRDefault="00281D16" w:rsidP="00281D16">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14:paraId="47DA9E50" w14:textId="77777777" w:rsidR="00281D16" w:rsidRPr="00CE5A09" w:rsidRDefault="00281D16" w:rsidP="00281D16">
      <w:pPr>
        <w:pStyle w:val="Standard"/>
        <w:jc w:val="both"/>
        <w:rPr>
          <w:rFonts w:ascii="Arial" w:hAnsi="Arial" w:cs="Arial"/>
          <w:b/>
          <w:color w:val="000000"/>
          <w:sz w:val="22"/>
          <w:szCs w:val="22"/>
        </w:rPr>
      </w:pPr>
      <w:r w:rsidRPr="00CE5A09">
        <w:rPr>
          <w:rFonts w:ascii="Arial" w:hAnsi="Arial" w:cs="Arial"/>
          <w:b/>
          <w:color w:val="000000"/>
          <w:sz w:val="22"/>
          <w:szCs w:val="22"/>
        </w:rPr>
        <w:t>Planta de tratamiento de San Miguel Cuyutlán.</w:t>
      </w:r>
    </w:p>
    <w:p w14:paraId="28F84FA3" w14:textId="77777777" w:rsidR="00281D16" w:rsidRPr="00CE5A09" w:rsidRDefault="00281D16" w:rsidP="00281D16">
      <w:pPr>
        <w:pStyle w:val="Standard"/>
        <w:jc w:val="both"/>
        <w:rPr>
          <w:rFonts w:ascii="Arial" w:hAnsi="Arial" w:cs="Arial"/>
          <w:color w:val="000000"/>
          <w:sz w:val="22"/>
          <w:szCs w:val="22"/>
        </w:rPr>
      </w:pPr>
    </w:p>
    <w:p w14:paraId="5913DB42"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1 bomba sumergible de 60 HP incluidos sus accesorios.</w:t>
      </w:r>
    </w:p>
    <w:p w14:paraId="69CF51E9"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1 bomba sumergible de 30 HP incluidos sus accesorios.</w:t>
      </w:r>
    </w:p>
    <w:p w14:paraId="518636CD"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1 bomba sumergible de 25 HP incluidos sus accesorios.</w:t>
      </w:r>
    </w:p>
    <w:p w14:paraId="24F14A8A"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 xml:space="preserve">Suministro de mantenimientos completos (incluidas las refacciones) a 3 sopladores </w:t>
      </w:r>
      <w:proofErr w:type="spellStart"/>
      <w:r>
        <w:rPr>
          <w:rFonts w:ascii="Arial" w:hAnsi="Arial" w:cs="Arial"/>
          <w:color w:val="000000"/>
          <w:sz w:val="22"/>
          <w:szCs w:val="22"/>
        </w:rPr>
        <w:t>Kaeser</w:t>
      </w:r>
      <w:proofErr w:type="spellEnd"/>
      <w:r>
        <w:rPr>
          <w:rFonts w:ascii="Arial" w:hAnsi="Arial" w:cs="Arial"/>
          <w:color w:val="000000"/>
          <w:sz w:val="22"/>
          <w:szCs w:val="22"/>
        </w:rPr>
        <w:t xml:space="preserve"> de 75 HP.</w:t>
      </w:r>
    </w:p>
    <w:p w14:paraId="57C55178"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 xml:space="preserve">Suministro de mantenimientos completos (incluidas las refacciones) a 2 equipos de desinfección con lámparas </w:t>
      </w:r>
      <w:proofErr w:type="spellStart"/>
      <w:r>
        <w:rPr>
          <w:rFonts w:ascii="Arial" w:hAnsi="Arial" w:cs="Arial"/>
          <w:color w:val="000000"/>
          <w:sz w:val="22"/>
          <w:szCs w:val="22"/>
        </w:rPr>
        <w:t>UV</w:t>
      </w:r>
      <w:proofErr w:type="spellEnd"/>
      <w:r>
        <w:rPr>
          <w:rFonts w:ascii="Arial" w:hAnsi="Arial" w:cs="Arial"/>
          <w:color w:val="000000"/>
          <w:sz w:val="22"/>
          <w:szCs w:val="22"/>
        </w:rPr>
        <w:t>.</w:t>
      </w:r>
    </w:p>
    <w:p w14:paraId="47D3516B" w14:textId="77777777" w:rsidR="00281D16" w:rsidRPr="00CE5A09" w:rsidRDefault="00281D16" w:rsidP="00281D16">
      <w:pPr>
        <w:pStyle w:val="Standard"/>
        <w:jc w:val="both"/>
        <w:rPr>
          <w:rFonts w:ascii="Arial" w:hAnsi="Arial" w:cs="Arial"/>
          <w:b/>
          <w:color w:val="000000"/>
          <w:sz w:val="22"/>
          <w:szCs w:val="22"/>
        </w:rPr>
      </w:pPr>
    </w:p>
    <w:p w14:paraId="10E75422" w14:textId="77777777" w:rsidR="00281D16" w:rsidRPr="00CE5A09" w:rsidRDefault="00281D16" w:rsidP="00281D16">
      <w:pPr>
        <w:pStyle w:val="Standard"/>
        <w:jc w:val="both"/>
        <w:rPr>
          <w:rFonts w:ascii="Arial" w:hAnsi="Arial" w:cs="Arial"/>
          <w:b/>
          <w:color w:val="000000"/>
          <w:sz w:val="22"/>
          <w:szCs w:val="22"/>
        </w:rPr>
      </w:pPr>
      <w:r w:rsidRPr="00CE5A09">
        <w:rPr>
          <w:rFonts w:ascii="Arial" w:hAnsi="Arial" w:cs="Arial"/>
          <w:b/>
          <w:color w:val="000000"/>
          <w:sz w:val="22"/>
          <w:szCs w:val="22"/>
        </w:rPr>
        <w:t>Planta de tr</w:t>
      </w:r>
      <w:r>
        <w:rPr>
          <w:rFonts w:ascii="Arial" w:hAnsi="Arial" w:cs="Arial"/>
          <w:b/>
          <w:color w:val="000000"/>
          <w:sz w:val="22"/>
          <w:szCs w:val="22"/>
        </w:rPr>
        <w:t xml:space="preserve">atamiento de </w:t>
      </w:r>
      <w:proofErr w:type="spellStart"/>
      <w:r>
        <w:rPr>
          <w:rFonts w:ascii="Arial" w:hAnsi="Arial" w:cs="Arial"/>
          <w:b/>
          <w:color w:val="000000"/>
          <w:sz w:val="22"/>
          <w:szCs w:val="22"/>
        </w:rPr>
        <w:t>Cajititlán</w:t>
      </w:r>
      <w:proofErr w:type="spellEnd"/>
      <w:r w:rsidRPr="00CE5A09">
        <w:rPr>
          <w:rFonts w:ascii="Arial" w:hAnsi="Arial" w:cs="Arial"/>
          <w:b/>
          <w:color w:val="000000"/>
          <w:sz w:val="22"/>
          <w:szCs w:val="22"/>
        </w:rPr>
        <w:t>.</w:t>
      </w:r>
    </w:p>
    <w:p w14:paraId="15936329" w14:textId="77777777" w:rsidR="00281D16" w:rsidRPr="00CE5A09" w:rsidRDefault="00281D16" w:rsidP="00281D16">
      <w:pPr>
        <w:pStyle w:val="Standard"/>
        <w:jc w:val="both"/>
        <w:rPr>
          <w:rFonts w:ascii="Arial" w:hAnsi="Arial" w:cs="Arial"/>
          <w:color w:val="000000"/>
          <w:sz w:val="22"/>
          <w:szCs w:val="22"/>
        </w:rPr>
      </w:pPr>
    </w:p>
    <w:p w14:paraId="524FE852"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1 bomba sumergible de 15 HP incluidos sus accesorios.</w:t>
      </w:r>
    </w:p>
    <w:p w14:paraId="5E90761E"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1 bomba de pared sumergible de 2.3 HP.</w:t>
      </w:r>
    </w:p>
    <w:p w14:paraId="67103F0D"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1 bomba centrifuga de 3.5 HP.</w:t>
      </w:r>
    </w:p>
    <w:p w14:paraId="754FD3F9"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 xml:space="preserve">Suministro de mantenimientos completos (incluidas las refacciones) a 3 sopladores </w:t>
      </w:r>
      <w:proofErr w:type="spellStart"/>
      <w:r>
        <w:rPr>
          <w:rFonts w:ascii="Arial" w:hAnsi="Arial" w:cs="Arial"/>
          <w:color w:val="000000"/>
          <w:sz w:val="22"/>
          <w:szCs w:val="22"/>
        </w:rPr>
        <w:t>Kaeser</w:t>
      </w:r>
      <w:proofErr w:type="spellEnd"/>
      <w:r>
        <w:rPr>
          <w:rFonts w:ascii="Arial" w:hAnsi="Arial" w:cs="Arial"/>
          <w:color w:val="000000"/>
          <w:sz w:val="22"/>
          <w:szCs w:val="22"/>
        </w:rPr>
        <w:t xml:space="preserve"> de 40 HP.</w:t>
      </w:r>
    </w:p>
    <w:p w14:paraId="1283FA23"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 xml:space="preserve">Suministro de mantenimientos completos (incluidas las refacciones) a 1 equipo de desinfección con lámparas </w:t>
      </w:r>
      <w:proofErr w:type="spellStart"/>
      <w:r>
        <w:rPr>
          <w:rFonts w:ascii="Arial" w:hAnsi="Arial" w:cs="Arial"/>
          <w:color w:val="000000"/>
          <w:sz w:val="22"/>
          <w:szCs w:val="22"/>
        </w:rPr>
        <w:t>UV</w:t>
      </w:r>
      <w:proofErr w:type="spellEnd"/>
      <w:r>
        <w:rPr>
          <w:rFonts w:ascii="Arial" w:hAnsi="Arial" w:cs="Arial"/>
          <w:color w:val="000000"/>
          <w:sz w:val="22"/>
          <w:szCs w:val="22"/>
        </w:rPr>
        <w:t>.</w:t>
      </w:r>
    </w:p>
    <w:p w14:paraId="6C1FBBCC" w14:textId="77777777" w:rsidR="00281D16" w:rsidRDefault="00281D16" w:rsidP="00281D16">
      <w:pPr>
        <w:pStyle w:val="Standard"/>
        <w:jc w:val="both"/>
        <w:rPr>
          <w:rFonts w:ascii="Arial" w:hAnsi="Arial" w:cs="Arial"/>
          <w:b/>
          <w:color w:val="000000"/>
          <w:sz w:val="22"/>
          <w:szCs w:val="22"/>
        </w:rPr>
      </w:pPr>
    </w:p>
    <w:p w14:paraId="18746BF6" w14:textId="77777777" w:rsidR="00281D16" w:rsidRPr="00CE5A09" w:rsidRDefault="00281D16" w:rsidP="00281D16">
      <w:pPr>
        <w:pStyle w:val="Standard"/>
        <w:jc w:val="both"/>
        <w:rPr>
          <w:rFonts w:ascii="Arial" w:hAnsi="Arial" w:cs="Arial"/>
          <w:b/>
          <w:color w:val="000000"/>
          <w:sz w:val="22"/>
          <w:szCs w:val="22"/>
        </w:rPr>
      </w:pPr>
      <w:r w:rsidRPr="00CE5A09">
        <w:rPr>
          <w:rFonts w:ascii="Arial" w:hAnsi="Arial" w:cs="Arial"/>
          <w:b/>
          <w:color w:val="000000"/>
          <w:sz w:val="22"/>
          <w:szCs w:val="22"/>
        </w:rPr>
        <w:t xml:space="preserve">Planta de tratamiento de San </w:t>
      </w:r>
      <w:r>
        <w:rPr>
          <w:rFonts w:ascii="Arial" w:hAnsi="Arial" w:cs="Arial"/>
          <w:b/>
          <w:color w:val="000000"/>
          <w:sz w:val="22"/>
          <w:szCs w:val="22"/>
        </w:rPr>
        <w:t>Juan Evangelista</w:t>
      </w:r>
      <w:r w:rsidRPr="00CE5A09">
        <w:rPr>
          <w:rFonts w:ascii="Arial" w:hAnsi="Arial" w:cs="Arial"/>
          <w:b/>
          <w:color w:val="000000"/>
          <w:sz w:val="22"/>
          <w:szCs w:val="22"/>
        </w:rPr>
        <w:t>.</w:t>
      </w:r>
    </w:p>
    <w:p w14:paraId="455E70BE" w14:textId="77777777" w:rsidR="00281D16" w:rsidRPr="00CE5A09" w:rsidRDefault="00281D16" w:rsidP="00281D16">
      <w:pPr>
        <w:pStyle w:val="Standard"/>
        <w:jc w:val="both"/>
        <w:rPr>
          <w:rFonts w:ascii="Arial" w:hAnsi="Arial" w:cs="Arial"/>
          <w:color w:val="000000"/>
          <w:sz w:val="22"/>
          <w:szCs w:val="22"/>
        </w:rPr>
      </w:pPr>
    </w:p>
    <w:p w14:paraId="53180196"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1 bomba sumergible de 10 HP incluidos sus accesorios.</w:t>
      </w:r>
    </w:p>
    <w:p w14:paraId="5B01CC27"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1 bomba de pared sumergible de 2.3 HP.</w:t>
      </w:r>
    </w:p>
    <w:p w14:paraId="6F01ED40"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 xml:space="preserve">Suministro de mantenimientos completos (incluidas las refacciones) a 3 sopladores </w:t>
      </w:r>
      <w:proofErr w:type="spellStart"/>
      <w:r>
        <w:rPr>
          <w:rFonts w:ascii="Arial" w:hAnsi="Arial" w:cs="Arial"/>
          <w:color w:val="000000"/>
          <w:sz w:val="22"/>
          <w:szCs w:val="22"/>
        </w:rPr>
        <w:t>Kaeser</w:t>
      </w:r>
      <w:proofErr w:type="spellEnd"/>
      <w:r>
        <w:rPr>
          <w:rFonts w:ascii="Arial" w:hAnsi="Arial" w:cs="Arial"/>
          <w:color w:val="000000"/>
          <w:sz w:val="22"/>
          <w:szCs w:val="22"/>
        </w:rPr>
        <w:t xml:space="preserve"> de 15 HP.</w:t>
      </w:r>
    </w:p>
    <w:p w14:paraId="37F79E78"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 xml:space="preserve">Suministro de mantenimientos completos (incluidas las refacciones) a 1 equipo de desinfección con lámparas </w:t>
      </w:r>
      <w:proofErr w:type="spellStart"/>
      <w:r>
        <w:rPr>
          <w:rFonts w:ascii="Arial" w:hAnsi="Arial" w:cs="Arial"/>
          <w:color w:val="000000"/>
          <w:sz w:val="22"/>
          <w:szCs w:val="22"/>
        </w:rPr>
        <w:t>UV</w:t>
      </w:r>
      <w:proofErr w:type="spellEnd"/>
      <w:r>
        <w:rPr>
          <w:rFonts w:ascii="Arial" w:hAnsi="Arial" w:cs="Arial"/>
          <w:color w:val="000000"/>
          <w:sz w:val="22"/>
          <w:szCs w:val="22"/>
        </w:rPr>
        <w:t>.</w:t>
      </w:r>
    </w:p>
    <w:p w14:paraId="318742ED" w14:textId="77777777" w:rsidR="00281D16" w:rsidRDefault="00281D16" w:rsidP="00281D16">
      <w:pPr>
        <w:pStyle w:val="Standard"/>
        <w:jc w:val="both"/>
        <w:rPr>
          <w:rFonts w:ascii="Arial" w:hAnsi="Arial" w:cs="Arial"/>
          <w:b/>
          <w:color w:val="000000"/>
          <w:sz w:val="22"/>
          <w:szCs w:val="22"/>
        </w:rPr>
      </w:pPr>
    </w:p>
    <w:p w14:paraId="2D1F5611" w14:textId="77777777" w:rsidR="00281D16" w:rsidRPr="00CE5A09" w:rsidRDefault="00281D16" w:rsidP="00281D16">
      <w:pPr>
        <w:pStyle w:val="Standard"/>
        <w:jc w:val="both"/>
        <w:rPr>
          <w:rFonts w:ascii="Arial" w:hAnsi="Arial" w:cs="Arial"/>
          <w:b/>
          <w:color w:val="000000"/>
          <w:sz w:val="22"/>
          <w:szCs w:val="22"/>
        </w:rPr>
      </w:pPr>
      <w:r w:rsidRPr="00CE5A09">
        <w:rPr>
          <w:rFonts w:ascii="Arial" w:hAnsi="Arial" w:cs="Arial"/>
          <w:b/>
          <w:color w:val="000000"/>
          <w:sz w:val="22"/>
          <w:szCs w:val="22"/>
        </w:rPr>
        <w:t xml:space="preserve">Planta de tratamiento de </w:t>
      </w:r>
      <w:proofErr w:type="spellStart"/>
      <w:r>
        <w:rPr>
          <w:rFonts w:ascii="Arial" w:hAnsi="Arial" w:cs="Arial"/>
          <w:b/>
          <w:color w:val="000000"/>
          <w:sz w:val="22"/>
          <w:szCs w:val="22"/>
        </w:rPr>
        <w:t>Cuexcomatitlán</w:t>
      </w:r>
      <w:proofErr w:type="spellEnd"/>
      <w:r w:rsidRPr="00CE5A09">
        <w:rPr>
          <w:rFonts w:ascii="Arial" w:hAnsi="Arial" w:cs="Arial"/>
          <w:b/>
          <w:color w:val="000000"/>
          <w:sz w:val="22"/>
          <w:szCs w:val="22"/>
        </w:rPr>
        <w:t>.</w:t>
      </w:r>
    </w:p>
    <w:p w14:paraId="26358718" w14:textId="77777777" w:rsidR="00281D16" w:rsidRPr="00CE5A09" w:rsidRDefault="00281D16" w:rsidP="00281D16">
      <w:pPr>
        <w:pStyle w:val="Standard"/>
        <w:jc w:val="both"/>
        <w:rPr>
          <w:rFonts w:ascii="Arial" w:hAnsi="Arial" w:cs="Arial"/>
          <w:color w:val="000000"/>
          <w:sz w:val="22"/>
          <w:szCs w:val="22"/>
        </w:rPr>
      </w:pPr>
    </w:p>
    <w:p w14:paraId="6E8C710B"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1 bomba sumergible trituradoras de 5 HP y 220 V.</w:t>
      </w:r>
    </w:p>
    <w:p w14:paraId="1CD99E39"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mantenimientos completos (incluidas las refacciones) a 3 sopladores Teco de 15 HP.</w:t>
      </w:r>
    </w:p>
    <w:p w14:paraId="6397A17C" w14:textId="77777777" w:rsidR="00281D16" w:rsidRDefault="00281D16" w:rsidP="00281D16">
      <w:pPr>
        <w:pStyle w:val="Standard"/>
        <w:jc w:val="both"/>
        <w:rPr>
          <w:rFonts w:ascii="Arial" w:hAnsi="Arial" w:cs="Arial"/>
          <w:b/>
          <w:color w:val="000000"/>
          <w:sz w:val="22"/>
          <w:szCs w:val="22"/>
        </w:rPr>
      </w:pPr>
    </w:p>
    <w:p w14:paraId="4B1AF567" w14:textId="77777777" w:rsidR="00281D16" w:rsidRPr="00CE5A09" w:rsidRDefault="00281D16" w:rsidP="00281D16">
      <w:pPr>
        <w:pStyle w:val="Standard"/>
        <w:jc w:val="both"/>
        <w:rPr>
          <w:rFonts w:ascii="Arial" w:hAnsi="Arial" w:cs="Arial"/>
          <w:b/>
          <w:color w:val="000000"/>
          <w:sz w:val="22"/>
          <w:szCs w:val="22"/>
        </w:rPr>
      </w:pPr>
      <w:r w:rsidRPr="00CE5A09">
        <w:rPr>
          <w:rFonts w:ascii="Arial" w:hAnsi="Arial" w:cs="Arial"/>
          <w:b/>
          <w:color w:val="000000"/>
          <w:sz w:val="22"/>
          <w:szCs w:val="22"/>
        </w:rPr>
        <w:t xml:space="preserve">Planta de tratamiento de </w:t>
      </w:r>
      <w:proofErr w:type="spellStart"/>
      <w:r w:rsidRPr="00CE5A09">
        <w:rPr>
          <w:rFonts w:ascii="Arial" w:hAnsi="Arial" w:cs="Arial"/>
          <w:b/>
          <w:color w:val="000000"/>
          <w:sz w:val="22"/>
          <w:szCs w:val="22"/>
        </w:rPr>
        <w:t>A</w:t>
      </w:r>
      <w:r>
        <w:rPr>
          <w:rFonts w:ascii="Arial" w:hAnsi="Arial" w:cs="Arial"/>
          <w:b/>
          <w:color w:val="000000"/>
          <w:sz w:val="22"/>
          <w:szCs w:val="22"/>
        </w:rPr>
        <w:t>rvento</w:t>
      </w:r>
      <w:proofErr w:type="spellEnd"/>
      <w:r w:rsidRPr="00CE5A09">
        <w:rPr>
          <w:rFonts w:ascii="Arial" w:hAnsi="Arial" w:cs="Arial"/>
          <w:b/>
          <w:color w:val="000000"/>
          <w:sz w:val="22"/>
          <w:szCs w:val="22"/>
        </w:rPr>
        <w:t>.</w:t>
      </w:r>
    </w:p>
    <w:p w14:paraId="644544B6" w14:textId="77777777" w:rsidR="00281D16" w:rsidRPr="00CE5A09" w:rsidRDefault="00281D16" w:rsidP="00281D16">
      <w:pPr>
        <w:pStyle w:val="Standard"/>
        <w:jc w:val="both"/>
        <w:rPr>
          <w:rFonts w:ascii="Arial" w:hAnsi="Arial" w:cs="Arial"/>
          <w:color w:val="000000"/>
          <w:sz w:val="22"/>
          <w:szCs w:val="22"/>
        </w:rPr>
      </w:pPr>
    </w:p>
    <w:p w14:paraId="5069E138"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Reparación e instalación de 2 motores de soplador de 75 HP.</w:t>
      </w:r>
    </w:p>
    <w:p w14:paraId="08F1F8CA"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2 bombas sumergibles de 30 HP incluidos sus accesorios.</w:t>
      </w:r>
    </w:p>
    <w:p w14:paraId="45E20FE2" w14:textId="77777777" w:rsidR="00281D16" w:rsidRDefault="00281D16" w:rsidP="00281D16">
      <w:pPr>
        <w:pStyle w:val="Textoindependiente"/>
        <w:rPr>
          <w:rFonts w:ascii="Arial" w:hAnsi="Arial" w:cs="Arial"/>
          <w:sz w:val="20"/>
        </w:rPr>
      </w:pPr>
    </w:p>
    <w:p w14:paraId="0C883B47" w14:textId="77777777" w:rsidR="00281D16" w:rsidRPr="00CE5A09" w:rsidRDefault="00281D16" w:rsidP="00281D16">
      <w:pPr>
        <w:pStyle w:val="Standard"/>
        <w:jc w:val="both"/>
        <w:rPr>
          <w:rFonts w:ascii="Arial" w:hAnsi="Arial" w:cs="Arial"/>
          <w:b/>
          <w:color w:val="000000"/>
          <w:sz w:val="22"/>
          <w:szCs w:val="22"/>
        </w:rPr>
      </w:pPr>
      <w:r>
        <w:rPr>
          <w:rFonts w:ascii="Arial" w:hAnsi="Arial" w:cs="Arial"/>
          <w:b/>
          <w:color w:val="000000"/>
          <w:sz w:val="22"/>
          <w:szCs w:val="22"/>
        </w:rPr>
        <w:lastRenderedPageBreak/>
        <w:t>Planta de tratamiento de Santa Cruz de las Flores</w:t>
      </w:r>
      <w:r w:rsidRPr="00CE5A09">
        <w:rPr>
          <w:rFonts w:ascii="Arial" w:hAnsi="Arial" w:cs="Arial"/>
          <w:b/>
          <w:color w:val="000000"/>
          <w:sz w:val="22"/>
          <w:szCs w:val="22"/>
        </w:rPr>
        <w:t>.</w:t>
      </w:r>
    </w:p>
    <w:p w14:paraId="6156D507" w14:textId="77777777" w:rsidR="00281D16" w:rsidRPr="00CE5A09" w:rsidRDefault="00281D16" w:rsidP="00281D16">
      <w:pPr>
        <w:pStyle w:val="Standard"/>
        <w:jc w:val="both"/>
        <w:rPr>
          <w:rFonts w:ascii="Arial" w:hAnsi="Arial" w:cs="Arial"/>
          <w:color w:val="000000"/>
          <w:sz w:val="22"/>
          <w:szCs w:val="22"/>
        </w:rPr>
      </w:pPr>
    </w:p>
    <w:p w14:paraId="5B375D42"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mantenimientos completos (incluidas las refacciones) a 3 sopladores Teco de 75 HP.</w:t>
      </w:r>
    </w:p>
    <w:p w14:paraId="7601A682"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Suministro de 2 bombas de pared sumergibles de 2.3 HP.</w:t>
      </w:r>
    </w:p>
    <w:p w14:paraId="385DBAE5" w14:textId="77777777" w:rsidR="00281D16" w:rsidRDefault="00281D16" w:rsidP="00281D16">
      <w:pPr>
        <w:pStyle w:val="Standard"/>
        <w:jc w:val="both"/>
        <w:rPr>
          <w:rFonts w:ascii="Arial" w:hAnsi="Arial" w:cs="Arial"/>
          <w:color w:val="000000"/>
          <w:sz w:val="22"/>
          <w:szCs w:val="22"/>
        </w:rPr>
      </w:pPr>
    </w:p>
    <w:p w14:paraId="7ED7ABCB" w14:textId="77777777" w:rsidR="00281D16" w:rsidRPr="00CE5A09" w:rsidRDefault="00281D16" w:rsidP="00281D16">
      <w:pPr>
        <w:pStyle w:val="Standard"/>
        <w:jc w:val="both"/>
        <w:rPr>
          <w:rFonts w:ascii="Arial" w:hAnsi="Arial" w:cs="Arial"/>
          <w:b/>
          <w:color w:val="000000"/>
          <w:sz w:val="22"/>
          <w:szCs w:val="22"/>
        </w:rPr>
      </w:pPr>
      <w:r w:rsidRPr="00CE5A09">
        <w:rPr>
          <w:rFonts w:ascii="Arial" w:hAnsi="Arial" w:cs="Arial"/>
          <w:b/>
          <w:color w:val="000000"/>
          <w:sz w:val="22"/>
          <w:szCs w:val="22"/>
        </w:rPr>
        <w:t>Planta de tratamiento de A</w:t>
      </w:r>
      <w:r>
        <w:rPr>
          <w:rFonts w:ascii="Arial" w:hAnsi="Arial" w:cs="Arial"/>
          <w:b/>
          <w:color w:val="000000"/>
          <w:sz w:val="22"/>
          <w:szCs w:val="22"/>
        </w:rPr>
        <w:t>gaves</w:t>
      </w:r>
      <w:r w:rsidRPr="00CE5A09">
        <w:rPr>
          <w:rFonts w:ascii="Arial" w:hAnsi="Arial" w:cs="Arial"/>
          <w:b/>
          <w:color w:val="000000"/>
          <w:sz w:val="22"/>
          <w:szCs w:val="22"/>
        </w:rPr>
        <w:t>.</w:t>
      </w:r>
    </w:p>
    <w:p w14:paraId="32E68B53" w14:textId="77777777" w:rsidR="00281D16" w:rsidRPr="00CE5A09" w:rsidRDefault="00281D16" w:rsidP="00281D16">
      <w:pPr>
        <w:pStyle w:val="Standard"/>
        <w:jc w:val="both"/>
        <w:rPr>
          <w:rFonts w:ascii="Arial" w:hAnsi="Arial" w:cs="Arial"/>
          <w:color w:val="000000"/>
          <w:sz w:val="22"/>
          <w:szCs w:val="22"/>
        </w:rPr>
      </w:pPr>
    </w:p>
    <w:p w14:paraId="517BBD4D"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Fabricación e instalación de compuerta de entrada a la planta.</w:t>
      </w:r>
    </w:p>
    <w:p w14:paraId="131A1E20" w14:textId="77777777" w:rsidR="00281D16" w:rsidRDefault="00281D16" w:rsidP="00281D16">
      <w:pPr>
        <w:pStyle w:val="Standard"/>
        <w:numPr>
          <w:ilvl w:val="0"/>
          <w:numId w:val="16"/>
        </w:numPr>
        <w:jc w:val="both"/>
        <w:rPr>
          <w:rFonts w:ascii="Arial" w:hAnsi="Arial" w:cs="Arial"/>
          <w:color w:val="000000"/>
          <w:sz w:val="22"/>
          <w:szCs w:val="22"/>
        </w:rPr>
      </w:pPr>
      <w:r>
        <w:rPr>
          <w:rFonts w:ascii="Arial" w:hAnsi="Arial" w:cs="Arial"/>
          <w:color w:val="000000"/>
          <w:sz w:val="22"/>
          <w:szCs w:val="22"/>
        </w:rPr>
        <w:t xml:space="preserve">Suministro e instalación de 2 medidores de flujo de 4” de </w:t>
      </w:r>
      <w:proofErr w:type="spellStart"/>
      <w:r>
        <w:rPr>
          <w:rFonts w:ascii="Arial" w:hAnsi="Arial" w:cs="Arial"/>
          <w:color w:val="000000"/>
          <w:sz w:val="22"/>
          <w:szCs w:val="22"/>
        </w:rPr>
        <w:t>diametro</w:t>
      </w:r>
      <w:proofErr w:type="spellEnd"/>
      <w:r>
        <w:rPr>
          <w:rFonts w:ascii="Arial" w:hAnsi="Arial" w:cs="Arial"/>
          <w:color w:val="000000"/>
          <w:sz w:val="22"/>
          <w:szCs w:val="22"/>
        </w:rPr>
        <w:t>.</w:t>
      </w:r>
    </w:p>
    <w:p w14:paraId="664CDC8B" w14:textId="77777777" w:rsidR="008235F3" w:rsidRDefault="008235F3" w:rsidP="000B16A4">
      <w:pPr>
        <w:spacing w:after="0" w:line="240" w:lineRule="auto"/>
        <w:jc w:val="both"/>
        <w:rPr>
          <w:rFonts w:ascii="Arial" w:eastAsia="Times New Roman" w:hAnsi="Arial" w:cs="Arial"/>
          <w:sz w:val="20"/>
          <w:szCs w:val="20"/>
          <w:lang w:eastAsia="es-ES"/>
        </w:rPr>
      </w:pPr>
    </w:p>
    <w:p w14:paraId="5BF06B89" w14:textId="77777777" w:rsidR="00281D16" w:rsidRDefault="00281D16" w:rsidP="000B16A4">
      <w:pPr>
        <w:spacing w:after="0" w:line="240" w:lineRule="auto"/>
        <w:jc w:val="both"/>
        <w:rPr>
          <w:rFonts w:ascii="Arial" w:eastAsia="Times New Roman" w:hAnsi="Arial" w:cs="Arial"/>
          <w:sz w:val="20"/>
          <w:szCs w:val="20"/>
          <w:lang w:eastAsia="es-ES"/>
        </w:rPr>
      </w:pPr>
    </w:p>
    <w:p w14:paraId="042D610A" w14:textId="77777777" w:rsidR="00281D16" w:rsidRDefault="00281D16" w:rsidP="00281D16">
      <w:pPr>
        <w:spacing w:after="0" w:line="240" w:lineRule="auto"/>
        <w:jc w:val="both"/>
        <w:rPr>
          <w:rFonts w:ascii="Arial" w:eastAsia="Times New Roman" w:hAnsi="Arial" w:cs="Arial"/>
          <w:sz w:val="20"/>
          <w:szCs w:val="20"/>
          <w:lang w:eastAsia="es-ES"/>
        </w:rPr>
      </w:pPr>
      <w:r w:rsidRPr="001B5C84">
        <w:rPr>
          <w:rFonts w:ascii="Arial" w:eastAsia="Times New Roman" w:hAnsi="Arial" w:cs="Arial"/>
          <w:sz w:val="20"/>
          <w:szCs w:val="20"/>
          <w:lang w:eastAsia="es-ES"/>
        </w:rPr>
        <w:t>Estas mejoras deberán de realizarse en el periodo del 01 de</w:t>
      </w:r>
      <w:r>
        <w:rPr>
          <w:rFonts w:ascii="Arial" w:eastAsia="Times New Roman" w:hAnsi="Arial" w:cs="Arial"/>
          <w:sz w:val="20"/>
          <w:szCs w:val="20"/>
          <w:lang w:eastAsia="es-ES"/>
        </w:rPr>
        <w:t xml:space="preserve"> octubre </w:t>
      </w:r>
      <w:r w:rsidRPr="001B5C84">
        <w:rPr>
          <w:rFonts w:ascii="Arial" w:eastAsia="Times New Roman" w:hAnsi="Arial" w:cs="Arial"/>
          <w:sz w:val="20"/>
          <w:szCs w:val="20"/>
          <w:lang w:eastAsia="es-ES"/>
        </w:rPr>
        <w:t>y concluirse el 30 de junio del 202</w:t>
      </w:r>
      <w:r>
        <w:rPr>
          <w:rFonts w:ascii="Arial" w:eastAsia="Times New Roman" w:hAnsi="Arial" w:cs="Arial"/>
          <w:sz w:val="20"/>
          <w:szCs w:val="20"/>
          <w:lang w:eastAsia="es-ES"/>
        </w:rPr>
        <w:t>2</w:t>
      </w:r>
      <w:r w:rsidRPr="001B5C84">
        <w:rPr>
          <w:rFonts w:ascii="Arial" w:eastAsia="Times New Roman" w:hAnsi="Arial" w:cs="Arial"/>
          <w:sz w:val="20"/>
          <w:szCs w:val="20"/>
          <w:lang w:eastAsia="es-ES"/>
        </w:rPr>
        <w:t>, los costos se deberán de prorratearse en el costo mensual de la operación.</w:t>
      </w:r>
    </w:p>
    <w:p w14:paraId="51184633" w14:textId="77777777" w:rsidR="00281D16" w:rsidRDefault="00281D16" w:rsidP="000B16A4">
      <w:pPr>
        <w:spacing w:after="0" w:line="240" w:lineRule="auto"/>
        <w:jc w:val="both"/>
        <w:rPr>
          <w:rFonts w:ascii="Arial" w:eastAsia="Times New Roman" w:hAnsi="Arial" w:cs="Arial"/>
          <w:sz w:val="20"/>
          <w:szCs w:val="20"/>
          <w:lang w:eastAsia="es-ES"/>
        </w:rPr>
      </w:pPr>
    </w:p>
    <w:p w14:paraId="2B4A04CB" w14:textId="77777777" w:rsidR="00281D16" w:rsidRDefault="00281D16" w:rsidP="000B16A4">
      <w:pPr>
        <w:spacing w:after="0" w:line="240" w:lineRule="auto"/>
        <w:jc w:val="both"/>
        <w:rPr>
          <w:rFonts w:ascii="Arial" w:eastAsia="Times New Roman" w:hAnsi="Arial" w:cs="Arial"/>
          <w:sz w:val="20"/>
          <w:szCs w:val="20"/>
          <w:lang w:eastAsia="es-ES"/>
        </w:rPr>
      </w:pPr>
    </w:p>
    <w:p w14:paraId="51A6B9A9" w14:textId="77777777" w:rsidR="00281D16" w:rsidRDefault="00281D16" w:rsidP="000B16A4">
      <w:pPr>
        <w:spacing w:after="0" w:line="240" w:lineRule="auto"/>
        <w:jc w:val="both"/>
        <w:rPr>
          <w:rFonts w:ascii="Arial" w:eastAsia="Times New Roman" w:hAnsi="Arial" w:cs="Arial"/>
          <w:sz w:val="20"/>
          <w:szCs w:val="20"/>
          <w:lang w:eastAsia="es-ES"/>
        </w:rPr>
      </w:pPr>
    </w:p>
    <w:p w14:paraId="688EEE5C" w14:textId="29A563BB" w:rsidR="000B16A4" w:rsidRDefault="000B16A4" w:rsidP="000B16A4">
      <w:pPr>
        <w:spacing w:after="0" w:line="240" w:lineRule="auto"/>
        <w:jc w:val="both"/>
        <w:rPr>
          <w:rFonts w:ascii="Arial" w:eastAsia="Times New Roman" w:hAnsi="Arial" w:cs="Arial"/>
          <w:sz w:val="20"/>
          <w:szCs w:val="20"/>
          <w:lang w:eastAsia="es-ES"/>
        </w:rPr>
      </w:pPr>
      <w:r w:rsidRPr="00EF394D">
        <w:rPr>
          <w:rFonts w:ascii="Arial" w:eastAsia="Times New Roman" w:hAnsi="Arial" w:cs="Arial"/>
          <w:sz w:val="20"/>
          <w:szCs w:val="20"/>
          <w:lang w:eastAsia="es-ES"/>
        </w:rPr>
        <w:t xml:space="preserve">Todos y cada uno de los bienes o servicios, los cuales son descritos en las partidas ANEXO 1 ESPECIFICACIONES y los cuales son objetos materia de </w:t>
      </w:r>
      <w:r w:rsidR="004F764C">
        <w:rPr>
          <w:rFonts w:ascii="Arial" w:eastAsia="Times New Roman" w:hAnsi="Arial" w:cs="Arial"/>
          <w:sz w:val="20"/>
          <w:szCs w:val="20"/>
          <w:lang w:eastAsia="es-ES"/>
        </w:rPr>
        <w:t xml:space="preserve">la Presente Licitación </w:t>
      </w:r>
      <w:r w:rsidR="00C30C89">
        <w:rPr>
          <w:rFonts w:ascii="Arial" w:eastAsia="Times New Roman" w:hAnsi="Arial" w:cs="Arial"/>
          <w:sz w:val="20"/>
          <w:szCs w:val="20"/>
          <w:lang w:eastAsia="es-ES"/>
        </w:rPr>
        <w:t xml:space="preserve">Pública </w:t>
      </w:r>
      <w:proofErr w:type="spellStart"/>
      <w:r w:rsidR="00612520">
        <w:rPr>
          <w:rFonts w:ascii="Arial" w:eastAsia="Times New Roman" w:hAnsi="Arial" w:cs="Arial"/>
          <w:sz w:val="20"/>
          <w:szCs w:val="20"/>
          <w:lang w:eastAsia="es-ES"/>
        </w:rPr>
        <w:t>OM</w:t>
      </w:r>
      <w:proofErr w:type="spellEnd"/>
      <w:r w:rsidR="00612520">
        <w:rPr>
          <w:rFonts w:ascii="Arial" w:eastAsia="Times New Roman" w:hAnsi="Arial" w:cs="Arial"/>
          <w:sz w:val="20"/>
          <w:szCs w:val="20"/>
          <w:lang w:eastAsia="es-ES"/>
        </w:rPr>
        <w:t>-43/2021</w:t>
      </w:r>
      <w:r w:rsidRPr="00EF394D">
        <w:rPr>
          <w:rFonts w:ascii="Arial" w:eastAsia="Times New Roman" w:hAnsi="Arial" w:cs="Arial"/>
          <w:sz w:val="20"/>
          <w:szCs w:val="20"/>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Pr>
          <w:rFonts w:ascii="Arial" w:eastAsia="Times New Roman" w:hAnsi="Arial" w:cs="Arial"/>
          <w:sz w:val="20"/>
          <w:szCs w:val="20"/>
          <w:lang w:eastAsia="es-ES"/>
        </w:rPr>
        <w:t xml:space="preserve"> de esta Licitación </w:t>
      </w:r>
      <w:r w:rsidR="00C30C89">
        <w:rPr>
          <w:rFonts w:ascii="Arial" w:eastAsia="Times New Roman" w:hAnsi="Arial" w:cs="Arial"/>
          <w:sz w:val="20"/>
          <w:szCs w:val="20"/>
          <w:lang w:eastAsia="es-ES"/>
        </w:rPr>
        <w:t xml:space="preserve">Pública </w:t>
      </w:r>
      <w:proofErr w:type="spellStart"/>
      <w:r w:rsidR="00612520">
        <w:rPr>
          <w:rFonts w:ascii="Arial" w:eastAsia="Times New Roman" w:hAnsi="Arial" w:cs="Arial"/>
          <w:sz w:val="20"/>
          <w:szCs w:val="20"/>
          <w:lang w:eastAsia="es-ES"/>
        </w:rPr>
        <w:t>OM</w:t>
      </w:r>
      <w:proofErr w:type="spellEnd"/>
      <w:r w:rsidR="00612520">
        <w:rPr>
          <w:rFonts w:ascii="Arial" w:eastAsia="Times New Roman" w:hAnsi="Arial" w:cs="Arial"/>
          <w:sz w:val="20"/>
          <w:szCs w:val="20"/>
          <w:lang w:eastAsia="es-ES"/>
        </w:rPr>
        <w:t>-43/2021</w:t>
      </w:r>
      <w:r w:rsidRPr="00EF394D">
        <w:rPr>
          <w:rFonts w:ascii="Arial" w:eastAsia="Times New Roman" w:hAnsi="Arial" w:cs="Arial"/>
          <w:sz w:val="20"/>
          <w:szCs w:val="20"/>
          <w:lang w:eastAsia="es-ES"/>
        </w:rPr>
        <w:t>.</w:t>
      </w:r>
    </w:p>
    <w:p w14:paraId="6C71B25D" w14:textId="77777777" w:rsidR="00960A1D" w:rsidRDefault="00960A1D" w:rsidP="000B16A4">
      <w:pPr>
        <w:spacing w:after="0" w:line="240" w:lineRule="auto"/>
        <w:jc w:val="both"/>
        <w:rPr>
          <w:rFonts w:ascii="Arial" w:eastAsia="Times New Roman" w:hAnsi="Arial" w:cs="Arial"/>
          <w:sz w:val="20"/>
          <w:szCs w:val="20"/>
          <w:lang w:eastAsia="es-ES"/>
        </w:rPr>
      </w:pPr>
    </w:p>
    <w:p w14:paraId="60D47D4A" w14:textId="77777777" w:rsidR="00960A1D" w:rsidRDefault="00960A1D" w:rsidP="000B16A4">
      <w:pPr>
        <w:spacing w:after="0" w:line="240" w:lineRule="auto"/>
        <w:jc w:val="both"/>
        <w:rPr>
          <w:rFonts w:ascii="Arial" w:eastAsia="Times New Roman" w:hAnsi="Arial" w:cs="Arial"/>
          <w:sz w:val="20"/>
          <w:szCs w:val="20"/>
          <w:lang w:eastAsia="es-ES"/>
        </w:rPr>
      </w:pPr>
    </w:p>
    <w:p w14:paraId="52D7621D" w14:textId="77777777" w:rsidR="00960A1D" w:rsidRDefault="00960A1D" w:rsidP="000B16A4">
      <w:pPr>
        <w:spacing w:after="0" w:line="240" w:lineRule="auto"/>
        <w:jc w:val="both"/>
        <w:rPr>
          <w:rFonts w:ascii="Arial" w:eastAsia="Times New Roman" w:hAnsi="Arial" w:cs="Arial"/>
          <w:sz w:val="20"/>
          <w:szCs w:val="20"/>
          <w:lang w:eastAsia="es-ES"/>
        </w:rPr>
      </w:pPr>
    </w:p>
    <w:p w14:paraId="6465AE63" w14:textId="77777777"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4A7F5EFA" w14:textId="77777777" w:rsidR="000B16A4" w:rsidRDefault="000B16A4" w:rsidP="000B16A4">
      <w:pPr>
        <w:spacing w:after="0"/>
        <w:rPr>
          <w:rFonts w:ascii="Arial" w:hAnsi="Arial" w:cs="Arial"/>
        </w:rPr>
      </w:pPr>
      <w:r w:rsidRPr="00CF6416">
        <w:rPr>
          <w:rFonts w:ascii="Arial" w:hAnsi="Arial" w:cs="Arial"/>
        </w:rPr>
        <w:t>y/o su Representante Legal</w:t>
      </w:r>
    </w:p>
    <w:p w14:paraId="28B537FE" w14:textId="77777777" w:rsidR="00B118C8" w:rsidRDefault="00B118C8" w:rsidP="00CA51E6">
      <w:pPr>
        <w:spacing w:after="0" w:line="240" w:lineRule="auto"/>
        <w:jc w:val="center"/>
        <w:rPr>
          <w:rFonts w:ascii="Arial" w:eastAsia="Times New Roman" w:hAnsi="Arial" w:cs="Arial"/>
          <w:b/>
          <w:spacing w:val="60"/>
          <w:sz w:val="20"/>
          <w:szCs w:val="20"/>
          <w:lang w:eastAsia="es-ES"/>
        </w:rPr>
      </w:pPr>
    </w:p>
    <w:p w14:paraId="5406BB65"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214FF9AD"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142A21B1"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2F5B2D7D"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57ECD200"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33412FAE"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66CEEC57" w14:textId="77777777" w:rsidR="004C395D" w:rsidRDefault="004C395D" w:rsidP="00CA51E6">
      <w:pPr>
        <w:spacing w:after="0" w:line="240" w:lineRule="auto"/>
        <w:jc w:val="center"/>
        <w:rPr>
          <w:rFonts w:ascii="Arial" w:eastAsia="Times New Roman" w:hAnsi="Arial" w:cs="Arial"/>
          <w:b/>
          <w:spacing w:val="60"/>
          <w:sz w:val="20"/>
          <w:szCs w:val="20"/>
          <w:lang w:eastAsia="es-ES"/>
        </w:rPr>
      </w:pPr>
    </w:p>
    <w:p w14:paraId="57C21A98" w14:textId="77777777" w:rsidR="00C45C8B" w:rsidRDefault="00C45C8B" w:rsidP="00CA51E6">
      <w:pPr>
        <w:spacing w:after="0" w:line="240" w:lineRule="auto"/>
        <w:jc w:val="center"/>
        <w:rPr>
          <w:rFonts w:ascii="Arial" w:eastAsia="Times New Roman" w:hAnsi="Arial" w:cs="Arial"/>
          <w:b/>
          <w:spacing w:val="60"/>
          <w:sz w:val="20"/>
          <w:szCs w:val="20"/>
          <w:lang w:eastAsia="es-ES"/>
        </w:rPr>
      </w:pPr>
    </w:p>
    <w:p w14:paraId="4C831E4C" w14:textId="77777777" w:rsidR="00C45C8B" w:rsidRDefault="00C45C8B" w:rsidP="00CA51E6">
      <w:pPr>
        <w:spacing w:after="0" w:line="240" w:lineRule="auto"/>
        <w:jc w:val="center"/>
        <w:rPr>
          <w:rFonts w:ascii="Arial" w:eastAsia="Times New Roman" w:hAnsi="Arial" w:cs="Arial"/>
          <w:b/>
          <w:spacing w:val="60"/>
          <w:sz w:val="20"/>
          <w:szCs w:val="20"/>
          <w:lang w:eastAsia="es-ES"/>
        </w:rPr>
      </w:pPr>
    </w:p>
    <w:p w14:paraId="5D2E24B9" w14:textId="77777777" w:rsidR="00C45C8B" w:rsidRDefault="00C45C8B" w:rsidP="00CA51E6">
      <w:pPr>
        <w:spacing w:after="0" w:line="240" w:lineRule="auto"/>
        <w:jc w:val="center"/>
        <w:rPr>
          <w:rFonts w:ascii="Arial" w:eastAsia="Times New Roman" w:hAnsi="Arial" w:cs="Arial"/>
          <w:b/>
          <w:spacing w:val="60"/>
          <w:sz w:val="20"/>
          <w:szCs w:val="20"/>
          <w:lang w:eastAsia="es-ES"/>
        </w:rPr>
      </w:pPr>
    </w:p>
    <w:p w14:paraId="4E43A240" w14:textId="77777777" w:rsidR="00C45C8B" w:rsidRDefault="00C45C8B" w:rsidP="00CA51E6">
      <w:pPr>
        <w:spacing w:after="0" w:line="240" w:lineRule="auto"/>
        <w:jc w:val="center"/>
        <w:rPr>
          <w:rFonts w:ascii="Arial" w:eastAsia="Times New Roman" w:hAnsi="Arial" w:cs="Arial"/>
          <w:b/>
          <w:spacing w:val="60"/>
          <w:sz w:val="20"/>
          <w:szCs w:val="20"/>
          <w:lang w:eastAsia="es-ES"/>
        </w:rPr>
      </w:pPr>
    </w:p>
    <w:p w14:paraId="13B45150" w14:textId="77777777" w:rsidR="00C45C8B" w:rsidRDefault="00C45C8B" w:rsidP="00CA51E6">
      <w:pPr>
        <w:spacing w:after="0" w:line="240" w:lineRule="auto"/>
        <w:jc w:val="center"/>
        <w:rPr>
          <w:rFonts w:ascii="Arial" w:eastAsia="Times New Roman" w:hAnsi="Arial" w:cs="Arial"/>
          <w:b/>
          <w:spacing w:val="60"/>
          <w:sz w:val="20"/>
          <w:szCs w:val="20"/>
          <w:lang w:eastAsia="es-ES"/>
        </w:rPr>
      </w:pPr>
    </w:p>
    <w:p w14:paraId="07A0184C" w14:textId="77777777" w:rsidR="00C45C8B" w:rsidRDefault="00C45C8B" w:rsidP="00CA51E6">
      <w:pPr>
        <w:spacing w:after="0" w:line="240" w:lineRule="auto"/>
        <w:jc w:val="center"/>
        <w:rPr>
          <w:rFonts w:ascii="Arial" w:eastAsia="Times New Roman" w:hAnsi="Arial" w:cs="Arial"/>
          <w:b/>
          <w:spacing w:val="60"/>
          <w:sz w:val="20"/>
          <w:szCs w:val="20"/>
          <w:lang w:eastAsia="es-ES"/>
        </w:rPr>
      </w:pPr>
    </w:p>
    <w:p w14:paraId="23D0D1DC" w14:textId="77777777" w:rsidR="00C45C8B" w:rsidRDefault="00C45C8B" w:rsidP="00CA51E6">
      <w:pPr>
        <w:spacing w:after="0" w:line="240" w:lineRule="auto"/>
        <w:jc w:val="center"/>
        <w:rPr>
          <w:rFonts w:ascii="Arial" w:eastAsia="Times New Roman" w:hAnsi="Arial" w:cs="Arial"/>
          <w:b/>
          <w:spacing w:val="60"/>
          <w:sz w:val="20"/>
          <w:szCs w:val="20"/>
          <w:lang w:eastAsia="es-ES"/>
        </w:rPr>
      </w:pPr>
    </w:p>
    <w:p w14:paraId="1D0FABE2" w14:textId="77777777" w:rsidR="00C45C8B" w:rsidRDefault="00C45C8B" w:rsidP="00CA51E6">
      <w:pPr>
        <w:spacing w:after="0" w:line="240" w:lineRule="auto"/>
        <w:jc w:val="center"/>
        <w:rPr>
          <w:rFonts w:ascii="Arial" w:eastAsia="Times New Roman" w:hAnsi="Arial" w:cs="Arial"/>
          <w:b/>
          <w:spacing w:val="60"/>
          <w:sz w:val="20"/>
          <w:szCs w:val="20"/>
          <w:lang w:eastAsia="es-ES"/>
        </w:rPr>
      </w:pPr>
    </w:p>
    <w:p w14:paraId="7D41B119" w14:textId="77777777" w:rsidR="00C45C8B" w:rsidRDefault="00C45C8B" w:rsidP="00CA51E6">
      <w:pPr>
        <w:spacing w:after="0" w:line="240" w:lineRule="auto"/>
        <w:jc w:val="center"/>
        <w:rPr>
          <w:rFonts w:ascii="Arial" w:eastAsia="Times New Roman" w:hAnsi="Arial" w:cs="Arial"/>
          <w:b/>
          <w:spacing w:val="60"/>
          <w:sz w:val="20"/>
          <w:szCs w:val="20"/>
          <w:lang w:eastAsia="es-ES"/>
        </w:rPr>
      </w:pPr>
    </w:p>
    <w:p w14:paraId="5C340E88" w14:textId="77777777" w:rsidR="00C45C8B" w:rsidRDefault="00C45C8B" w:rsidP="00CA51E6">
      <w:pPr>
        <w:spacing w:after="0" w:line="240" w:lineRule="auto"/>
        <w:jc w:val="center"/>
        <w:rPr>
          <w:rFonts w:ascii="Arial" w:eastAsia="Times New Roman" w:hAnsi="Arial" w:cs="Arial"/>
          <w:b/>
          <w:spacing w:val="60"/>
          <w:sz w:val="20"/>
          <w:szCs w:val="20"/>
          <w:lang w:eastAsia="es-ES"/>
        </w:rPr>
      </w:pPr>
      <w:bookmarkStart w:id="0" w:name="_GoBack"/>
      <w:bookmarkEnd w:id="0"/>
    </w:p>
    <w:sectPr w:rsidR="00C45C8B"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767F7" w14:textId="77777777" w:rsidR="00F52A45" w:rsidRDefault="00F52A45">
      <w:pPr>
        <w:spacing w:after="0" w:line="240" w:lineRule="auto"/>
      </w:pPr>
      <w:r>
        <w:separator/>
      </w:r>
    </w:p>
  </w:endnote>
  <w:endnote w:type="continuationSeparator" w:id="0">
    <w:p w14:paraId="0EC0B154" w14:textId="77777777" w:rsidR="00F52A45" w:rsidRDefault="00F5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B7E93E3" w:rsidR="00C5360D" w:rsidRDefault="00C5360D">
        <w:pPr>
          <w:pStyle w:val="Piedepgina"/>
          <w:jc w:val="right"/>
        </w:pPr>
        <w:r>
          <w:fldChar w:fldCharType="begin"/>
        </w:r>
        <w:r>
          <w:instrText>PAGE   \* MERGEFORMAT</w:instrText>
        </w:r>
        <w:r>
          <w:fldChar w:fldCharType="separate"/>
        </w:r>
        <w:r w:rsidR="00A56C9C">
          <w:rPr>
            <w:noProof/>
          </w:rPr>
          <w:t>9</w:t>
        </w:r>
        <w:r>
          <w:rPr>
            <w:noProof/>
          </w:rPr>
          <w:fldChar w:fldCharType="end"/>
        </w:r>
      </w:p>
    </w:sdtContent>
  </w:sdt>
  <w:p w14:paraId="59AE45CE" w14:textId="77777777" w:rsidR="00C5360D" w:rsidRDefault="00C536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21F99" w14:textId="77777777" w:rsidR="00F52A45" w:rsidRDefault="00F52A45">
      <w:pPr>
        <w:spacing w:after="0" w:line="240" w:lineRule="auto"/>
      </w:pPr>
      <w:r>
        <w:separator/>
      </w:r>
    </w:p>
  </w:footnote>
  <w:footnote w:type="continuationSeparator" w:id="0">
    <w:p w14:paraId="34503C41" w14:textId="77777777" w:rsidR="00F52A45" w:rsidRDefault="00F52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C5360D" w:rsidRDefault="00C5360D">
    <w:pPr>
      <w:pStyle w:val="Encabezado"/>
      <w:jc w:val="right"/>
    </w:pPr>
  </w:p>
  <w:p w14:paraId="518830E8" w14:textId="77777777" w:rsidR="00C5360D" w:rsidRDefault="00C53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4108"/>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0EB0"/>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296C"/>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077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3AAC"/>
    <w:rsid w:val="00264833"/>
    <w:rsid w:val="00264F85"/>
    <w:rsid w:val="00266C74"/>
    <w:rsid w:val="00266DEF"/>
    <w:rsid w:val="00270F61"/>
    <w:rsid w:val="002727E9"/>
    <w:rsid w:val="0027585F"/>
    <w:rsid w:val="00275BE2"/>
    <w:rsid w:val="002764B3"/>
    <w:rsid w:val="00276FFD"/>
    <w:rsid w:val="00281D16"/>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053"/>
    <w:rsid w:val="002E59E3"/>
    <w:rsid w:val="002E7834"/>
    <w:rsid w:val="002E79FF"/>
    <w:rsid w:val="002F0AE7"/>
    <w:rsid w:val="002F0F2B"/>
    <w:rsid w:val="002F1476"/>
    <w:rsid w:val="002F26EB"/>
    <w:rsid w:val="002F34E2"/>
    <w:rsid w:val="002F3548"/>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07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1F1"/>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73C"/>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F1701"/>
    <w:rsid w:val="004F2346"/>
    <w:rsid w:val="004F2748"/>
    <w:rsid w:val="004F27E0"/>
    <w:rsid w:val="004F3232"/>
    <w:rsid w:val="004F4277"/>
    <w:rsid w:val="004F4FF7"/>
    <w:rsid w:val="004F5D37"/>
    <w:rsid w:val="004F764C"/>
    <w:rsid w:val="00501E31"/>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A20"/>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520"/>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6EF2"/>
    <w:rsid w:val="00637558"/>
    <w:rsid w:val="00637845"/>
    <w:rsid w:val="006416FE"/>
    <w:rsid w:val="00642559"/>
    <w:rsid w:val="006429A3"/>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5950"/>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4F2E"/>
    <w:rsid w:val="00856B19"/>
    <w:rsid w:val="00861231"/>
    <w:rsid w:val="00862421"/>
    <w:rsid w:val="00862A7A"/>
    <w:rsid w:val="008634C3"/>
    <w:rsid w:val="00863876"/>
    <w:rsid w:val="00864321"/>
    <w:rsid w:val="00864D6B"/>
    <w:rsid w:val="0086539F"/>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4187"/>
    <w:rsid w:val="008E7395"/>
    <w:rsid w:val="008E73AF"/>
    <w:rsid w:val="008F0CD9"/>
    <w:rsid w:val="008F1242"/>
    <w:rsid w:val="008F2115"/>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772"/>
    <w:rsid w:val="00930961"/>
    <w:rsid w:val="00930F3E"/>
    <w:rsid w:val="009324CE"/>
    <w:rsid w:val="00935429"/>
    <w:rsid w:val="00942747"/>
    <w:rsid w:val="0094369C"/>
    <w:rsid w:val="009437F7"/>
    <w:rsid w:val="00944387"/>
    <w:rsid w:val="00944E88"/>
    <w:rsid w:val="00945A2A"/>
    <w:rsid w:val="009470ED"/>
    <w:rsid w:val="00950154"/>
    <w:rsid w:val="00950864"/>
    <w:rsid w:val="00952198"/>
    <w:rsid w:val="0095250D"/>
    <w:rsid w:val="00954CE7"/>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B7EBF"/>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0476"/>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C9C"/>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39C8"/>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B01"/>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7C9"/>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5C8B"/>
    <w:rsid w:val="00C51064"/>
    <w:rsid w:val="00C519A5"/>
    <w:rsid w:val="00C51AEB"/>
    <w:rsid w:val="00C520FF"/>
    <w:rsid w:val="00C52412"/>
    <w:rsid w:val="00C5360D"/>
    <w:rsid w:val="00C53DC4"/>
    <w:rsid w:val="00C54482"/>
    <w:rsid w:val="00C544F7"/>
    <w:rsid w:val="00C56DFC"/>
    <w:rsid w:val="00C5743C"/>
    <w:rsid w:val="00C61B11"/>
    <w:rsid w:val="00C61B7A"/>
    <w:rsid w:val="00C63DCD"/>
    <w:rsid w:val="00C6489A"/>
    <w:rsid w:val="00C65C29"/>
    <w:rsid w:val="00C70AEF"/>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151"/>
    <w:rsid w:val="00D243F1"/>
    <w:rsid w:val="00D24DC8"/>
    <w:rsid w:val="00D24EE3"/>
    <w:rsid w:val="00D25BE0"/>
    <w:rsid w:val="00D3039F"/>
    <w:rsid w:val="00D32E63"/>
    <w:rsid w:val="00D37F1B"/>
    <w:rsid w:val="00D40172"/>
    <w:rsid w:val="00D40C9D"/>
    <w:rsid w:val="00D415AB"/>
    <w:rsid w:val="00D41DB6"/>
    <w:rsid w:val="00D42525"/>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629"/>
    <w:rsid w:val="00DD4149"/>
    <w:rsid w:val="00DD44AE"/>
    <w:rsid w:val="00DD4A74"/>
    <w:rsid w:val="00DD5010"/>
    <w:rsid w:val="00DD7014"/>
    <w:rsid w:val="00DD7974"/>
    <w:rsid w:val="00DE01DD"/>
    <w:rsid w:val="00DE0E73"/>
    <w:rsid w:val="00DE0FEB"/>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4CAE"/>
    <w:rsid w:val="00E25B86"/>
    <w:rsid w:val="00E30E29"/>
    <w:rsid w:val="00E338D4"/>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47CD8"/>
    <w:rsid w:val="00E51DB0"/>
    <w:rsid w:val="00E52824"/>
    <w:rsid w:val="00E5479A"/>
    <w:rsid w:val="00E5525B"/>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26B5"/>
    <w:rsid w:val="00EB3262"/>
    <w:rsid w:val="00EB392E"/>
    <w:rsid w:val="00EB3E4B"/>
    <w:rsid w:val="00EB4BAD"/>
    <w:rsid w:val="00EB629D"/>
    <w:rsid w:val="00EC1464"/>
    <w:rsid w:val="00EC1DDA"/>
    <w:rsid w:val="00EC3582"/>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2A45"/>
    <w:rsid w:val="00F546E0"/>
    <w:rsid w:val="00F54F5C"/>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C45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81D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C45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81D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04CAB-3AC8-4334-AA19-C25BB1A4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3213</Words>
  <Characters>17677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2021-09-09T14:14:00Z</cp:lastPrinted>
  <dcterms:created xsi:type="dcterms:W3CDTF">2021-09-10T16:33:00Z</dcterms:created>
  <dcterms:modified xsi:type="dcterms:W3CDTF">2021-09-10T19:34:00Z</dcterms:modified>
</cp:coreProperties>
</file>