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87072C1"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5BA5DA61" w:rsidR="0078779C" w:rsidRDefault="004815F6">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OM-10/2024</w:t>
      </w:r>
    </w:p>
    <w:p w14:paraId="3A1A2D71" w14:textId="4604F988"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w:t>
      </w:r>
      <w:r w:rsidR="004815F6">
        <w:rPr>
          <w:rFonts w:ascii="Arial" w:eastAsia="Arial" w:hAnsi="Arial" w:cs="Arial"/>
          <w:b/>
        </w:rPr>
        <w:t>DEL SERVICIO DE ORGANIZACIÓN Y LOGÍSTICA DE TORNEOS CHARROS</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71FF83D6"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w:t>
      </w:r>
      <w:r w:rsidR="004815F6">
        <w:rPr>
          <w:rFonts w:ascii="Arial" w:eastAsia="Arial" w:hAnsi="Arial" w:cs="Arial"/>
          <w:b/>
          <w:color w:val="000000"/>
        </w:rPr>
        <w:t>DEL SERVICIO DE ORGANIZACIÓN Y LOGÍSTICA DE TORNEOS CHARROS</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319AEFDE" w:rsidR="0078779C" w:rsidRDefault="004815F6">
            <w:pPr>
              <w:spacing w:after="0"/>
              <w:ind w:right="622"/>
              <w:jc w:val="both"/>
              <w:rPr>
                <w:rFonts w:ascii="Arial" w:eastAsia="Arial" w:hAnsi="Arial" w:cs="Arial"/>
              </w:rPr>
            </w:pPr>
            <w:r>
              <w:rPr>
                <w:rFonts w:ascii="Arial" w:eastAsia="Arial" w:hAnsi="Arial" w:cs="Arial"/>
                <w:b/>
                <w:bCs/>
              </w:rPr>
              <w:t>OM-10/2024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745CF7ED" w:rsidR="0078779C" w:rsidRPr="00C94B1C" w:rsidRDefault="00000000">
            <w:pPr>
              <w:spacing w:after="0"/>
              <w:ind w:right="-105"/>
              <w:jc w:val="both"/>
              <w:rPr>
                <w:rFonts w:ascii="Arial" w:eastAsia="Arial" w:hAnsi="Arial" w:cs="Arial"/>
                <w:color w:val="000000"/>
              </w:rPr>
            </w:pPr>
            <w:r w:rsidRPr="0046324E">
              <w:rPr>
                <w:rFonts w:ascii="Arial" w:eastAsia="Arial" w:hAnsi="Arial" w:cs="Arial"/>
                <w:b/>
                <w:color w:val="000000"/>
              </w:rPr>
              <w:t>$</w:t>
            </w:r>
            <w:r w:rsidR="00F02374" w:rsidRPr="0046324E">
              <w:rPr>
                <w:rFonts w:ascii="Arial" w:eastAsia="Arial" w:hAnsi="Arial" w:cs="Arial"/>
                <w:b/>
              </w:rPr>
              <w:t>3</w:t>
            </w:r>
            <w:r w:rsidR="0046324E" w:rsidRPr="0046324E">
              <w:rPr>
                <w:rFonts w:ascii="Arial" w:eastAsia="Arial" w:hAnsi="Arial" w:cs="Arial"/>
                <w:b/>
              </w:rPr>
              <w:t>83</w:t>
            </w:r>
            <w:r w:rsidRPr="0046324E">
              <w:rPr>
                <w:rFonts w:ascii="Arial" w:eastAsia="Arial" w:hAnsi="Arial" w:cs="Arial"/>
                <w:b/>
                <w:color w:val="000000"/>
              </w:rPr>
              <w:t>.00</w:t>
            </w:r>
            <w:r w:rsidRPr="0046324E">
              <w:rPr>
                <w:rFonts w:ascii="Arial" w:eastAsia="Arial" w:hAnsi="Arial" w:cs="Arial"/>
                <w:color w:val="000000"/>
              </w:rPr>
              <w:t xml:space="preserve"> de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084762E9"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A6BC4" w:rsidRPr="00CA6BC4">
              <w:rPr>
                <w:rFonts w:ascii="Arial" w:eastAsia="Arial" w:hAnsi="Arial" w:cs="Arial"/>
                <w:b/>
                <w:bCs/>
                <w:color w:val="000000"/>
              </w:rPr>
              <w:t>0</w:t>
            </w:r>
            <w:r w:rsidR="00BE68B9" w:rsidRPr="00CA6BC4">
              <w:rPr>
                <w:rFonts w:ascii="Arial" w:eastAsia="Arial" w:hAnsi="Arial" w:cs="Arial"/>
                <w:b/>
                <w:bCs/>
                <w:color w:val="000000"/>
              </w:rPr>
              <w:t>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FE367C3"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A6BC4" w:rsidRPr="00CA6BC4">
              <w:rPr>
                <w:rFonts w:ascii="Arial" w:eastAsia="Arial" w:hAnsi="Arial" w:cs="Arial"/>
                <w:b/>
                <w:bCs/>
                <w:color w:val="000000"/>
              </w:rPr>
              <w:t>02</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66F4662E"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CA6BC4">
              <w:rPr>
                <w:rFonts w:ascii="Arial" w:eastAsia="Arial" w:hAnsi="Arial" w:cs="Arial"/>
                <w:b/>
                <w:bCs/>
                <w:color w:val="000000"/>
              </w:rPr>
              <w:t>07</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3996C1F0"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sidR="00BE68B9">
              <w:rPr>
                <w:rFonts w:ascii="Arial" w:eastAsia="Arial" w:hAnsi="Arial" w:cs="Arial"/>
                <w:b/>
              </w:rPr>
              <w:t>0</w:t>
            </w:r>
            <w:r w:rsidR="00CA6BC4">
              <w:rPr>
                <w:rFonts w:ascii="Arial" w:eastAsia="Arial" w:hAnsi="Arial" w:cs="Arial"/>
                <w:b/>
              </w:rPr>
              <w:t>9</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860BBA">
              <w:rPr>
                <w:rFonts w:ascii="Arial" w:eastAsia="Arial" w:hAnsi="Arial" w:cs="Arial"/>
                <w:b/>
                <w:color w:val="000000"/>
              </w:rPr>
              <w:t>3</w:t>
            </w:r>
            <w:r w:rsidR="00263F47">
              <w:rPr>
                <w:rFonts w:ascii="Arial" w:eastAsia="Arial" w:hAnsi="Arial" w:cs="Arial"/>
                <w:b/>
                <w:color w:val="000000"/>
              </w:rPr>
              <w:t>:</w:t>
            </w:r>
            <w:r w:rsidR="00CA6BC4">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64D31C9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CA6BC4">
              <w:rPr>
                <w:rFonts w:ascii="Arial" w:eastAsia="Arial" w:hAnsi="Arial" w:cs="Arial"/>
                <w:b/>
                <w:color w:val="000000"/>
              </w:rPr>
              <w:t>16</w:t>
            </w:r>
            <w:r>
              <w:rPr>
                <w:rFonts w:ascii="Arial" w:eastAsia="Arial" w:hAnsi="Arial" w:cs="Arial"/>
                <w:b/>
                <w:color w:val="000000"/>
              </w:rPr>
              <w:t xml:space="preserve"> 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8:00 y concluirá a las </w:t>
            </w:r>
            <w:r w:rsidR="00F70929">
              <w:rPr>
                <w:rFonts w:ascii="Arial" w:eastAsia="Arial" w:hAnsi="Arial" w:cs="Arial"/>
                <w:b/>
                <w:color w:val="000000"/>
              </w:rPr>
              <w:t>8</w:t>
            </w:r>
            <w:r>
              <w:rPr>
                <w:rFonts w:ascii="Arial" w:eastAsia="Arial" w:hAnsi="Arial" w:cs="Arial"/>
                <w:b/>
                <w:color w:val="000000"/>
              </w:rPr>
              <w:t>:</w:t>
            </w:r>
            <w:r w:rsidR="007503F9">
              <w:rPr>
                <w:rFonts w:ascii="Arial" w:eastAsia="Arial" w:hAnsi="Arial" w:cs="Arial"/>
                <w:b/>
                <w:color w:val="000000"/>
              </w:rPr>
              <w:t>5</w:t>
            </w:r>
            <w:r w:rsidR="00CA6BC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54EF8DB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CA6BC4">
              <w:rPr>
                <w:rFonts w:ascii="Arial" w:eastAsia="Arial" w:hAnsi="Arial" w:cs="Arial"/>
                <w:b/>
              </w:rPr>
              <w:t>16</w:t>
            </w:r>
            <w:r w:rsidR="0059793B">
              <w:rPr>
                <w:rFonts w:ascii="Arial" w:eastAsia="Arial" w:hAnsi="Arial" w:cs="Arial"/>
                <w:b/>
              </w:rPr>
              <w:t xml:space="preserve"> </w:t>
            </w:r>
            <w:r>
              <w:rPr>
                <w:rFonts w:ascii="Arial" w:eastAsia="Arial" w:hAnsi="Arial" w:cs="Arial"/>
                <w:b/>
                <w:color w:val="000000"/>
              </w:rPr>
              <w:t xml:space="preserve">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860BBA">
              <w:rPr>
                <w:rFonts w:ascii="Arial" w:eastAsia="Arial" w:hAnsi="Arial" w:cs="Arial"/>
                <w:b/>
                <w:color w:val="000000"/>
              </w:rPr>
              <w:t>9</w:t>
            </w:r>
            <w:r>
              <w:rPr>
                <w:rFonts w:ascii="Arial" w:eastAsia="Arial" w:hAnsi="Arial" w:cs="Arial"/>
                <w:b/>
                <w:color w:val="000000"/>
              </w:rPr>
              <w:t>:</w:t>
            </w:r>
            <w:r w:rsidR="00860BBA">
              <w:rPr>
                <w:rFonts w:ascii="Arial" w:eastAsia="Arial" w:hAnsi="Arial" w:cs="Arial"/>
                <w:b/>
                <w:color w:val="000000"/>
              </w:rPr>
              <w:t>0</w:t>
            </w:r>
            <w:r w:rsidR="00CA6BC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16285875"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CA6BC4">
              <w:rPr>
                <w:rFonts w:ascii="Arial" w:eastAsia="Arial" w:hAnsi="Arial" w:cs="Arial"/>
                <w:b/>
              </w:rPr>
              <w:t>adjudicará</w:t>
            </w:r>
            <w:r w:rsidR="00197B67">
              <w:rPr>
                <w:rFonts w:ascii="Arial" w:eastAsia="Arial" w:hAnsi="Arial" w:cs="Arial"/>
                <w:b/>
              </w:rPr>
              <w:t xml:space="preserve"> a </w:t>
            </w:r>
            <w:r w:rsidR="00CA6BC4">
              <w:rPr>
                <w:rFonts w:ascii="Arial" w:eastAsia="Arial" w:hAnsi="Arial" w:cs="Arial"/>
                <w:b/>
              </w:rPr>
              <w:t>un solo l</w:t>
            </w:r>
            <w:r w:rsidR="00197B67">
              <w:rPr>
                <w:rFonts w:ascii="Arial" w:eastAsia="Arial" w:hAnsi="Arial" w:cs="Arial"/>
                <w:b/>
              </w:rPr>
              <w:t>icitante</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51C409EA" w:rsidR="00900A98" w:rsidRDefault="00860BBA" w:rsidP="00900A98">
            <w:pPr>
              <w:spacing w:after="0"/>
              <w:ind w:right="-105"/>
              <w:jc w:val="both"/>
              <w:rPr>
                <w:rFonts w:ascii="Arial" w:eastAsia="Arial" w:hAnsi="Arial" w:cs="Arial"/>
                <w:b/>
              </w:rPr>
            </w:pPr>
            <w:r>
              <w:rPr>
                <w:rFonts w:ascii="Arial" w:eastAsia="Arial" w:hAnsi="Arial" w:cs="Arial"/>
                <w:b/>
              </w:rPr>
              <w:t xml:space="preserve">Coordinación General de Desarrollo Económico </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210EDE9A" w:rsidR="00900A98" w:rsidRPr="00394B7C" w:rsidRDefault="00860BBA" w:rsidP="00900A98">
            <w:pPr>
              <w:spacing w:after="0"/>
              <w:ind w:right="-105"/>
              <w:jc w:val="both"/>
              <w:rPr>
                <w:rFonts w:ascii="Arial" w:hAnsi="Arial" w:cs="Arial"/>
                <w:b/>
                <w:lang w:val="es-ES_tradnl" w:eastAsia="es-ES"/>
              </w:rPr>
            </w:pPr>
            <w:r>
              <w:rPr>
                <w:rFonts w:ascii="Arial" w:hAnsi="Arial" w:cs="Arial"/>
                <w:b/>
                <w:lang w:val="es-ES_tradnl" w:eastAsia="es-ES"/>
              </w:rPr>
              <w:t>3821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32CBCB11"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7B48BB">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C1C5700"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w:t>
            </w:r>
            <w:r w:rsidR="004815F6">
              <w:rPr>
                <w:rFonts w:ascii="Arial" w:eastAsia="Arial" w:hAnsi="Arial" w:cs="Arial"/>
                <w:b/>
                <w:color w:val="000000"/>
              </w:rPr>
              <w:t>DEL SERVICIO DE ORGANIZACIÓN Y LOGÍSTICA DE TORNEOS CHARROS</w:t>
            </w:r>
            <w:r w:rsidR="00900A98">
              <w:rPr>
                <w:rFonts w:ascii="Arial" w:eastAsia="Arial" w:hAnsi="Arial" w:cs="Arial"/>
                <w:b/>
                <w:color w:val="000000"/>
              </w:rPr>
              <w:t xml:space="preserve"> PARA 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358B1AF" w14:textId="77777777" w:rsidR="00EE1847" w:rsidRDefault="00EE1847">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93689B4" w14:textId="77777777" w:rsidR="00EE1847" w:rsidRPr="00351AEE" w:rsidRDefault="00EE1847" w:rsidP="00EE1847">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C4DA69E" w14:textId="77777777" w:rsidR="00EE1847" w:rsidRPr="00351AEE" w:rsidRDefault="00EE1847" w:rsidP="00EE1847">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59FDC846" w14:textId="77777777" w:rsidR="00EE1847" w:rsidRPr="007B39A4" w:rsidRDefault="00EE1847" w:rsidP="00EE184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77F90D34" w14:textId="77777777" w:rsidR="00EE1847" w:rsidRPr="007B39A4" w:rsidRDefault="00EE1847" w:rsidP="00EE184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87C73AF" w14:textId="77777777" w:rsidR="00EE1847" w:rsidRPr="007B39A4" w:rsidRDefault="00EE1847" w:rsidP="00EE184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96EDAB6" w14:textId="77777777" w:rsidR="00EE1847" w:rsidRPr="007B39A4" w:rsidRDefault="00EE1847" w:rsidP="00EE184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CC965AA" w14:textId="77777777" w:rsidR="00EE1847" w:rsidRPr="00351AEE" w:rsidRDefault="00EE1847" w:rsidP="00EE184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154DF3AA" w14:textId="77777777" w:rsidR="00EE1847" w:rsidRPr="00351AEE" w:rsidRDefault="00EE1847" w:rsidP="00EE1847">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6A89907B" w14:textId="77777777" w:rsidR="00EE1847" w:rsidRDefault="00EE1847" w:rsidP="00EE1847">
      <w:pPr>
        <w:spacing w:after="0" w:line="240" w:lineRule="auto"/>
        <w:ind w:right="622"/>
        <w:jc w:val="center"/>
        <w:rPr>
          <w:rFonts w:ascii="Arial" w:eastAsia="Arial" w:hAnsi="Arial" w:cs="Arial"/>
          <w:b/>
        </w:rPr>
      </w:pPr>
    </w:p>
    <w:p w14:paraId="7ECD5849" w14:textId="77777777" w:rsidR="00EE1847" w:rsidRDefault="00EE1847">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48712D3" w14:textId="77777777" w:rsidR="00EE1847" w:rsidRDefault="00EE1847">
      <w:pPr>
        <w:spacing w:after="0" w:line="240" w:lineRule="auto"/>
        <w:ind w:right="622"/>
        <w:jc w:val="center"/>
        <w:rPr>
          <w:rFonts w:ascii="Arial" w:eastAsia="Arial" w:hAnsi="Arial" w:cs="Arial"/>
          <w:b/>
        </w:rPr>
      </w:pPr>
    </w:p>
    <w:p w14:paraId="3AC172D3" w14:textId="77777777" w:rsidR="00EE1847" w:rsidRDefault="00EE1847">
      <w:pPr>
        <w:spacing w:after="0" w:line="240" w:lineRule="auto"/>
        <w:ind w:right="622"/>
        <w:jc w:val="center"/>
        <w:rPr>
          <w:rFonts w:ascii="Arial" w:eastAsia="Arial" w:hAnsi="Arial" w:cs="Arial"/>
          <w:b/>
        </w:rPr>
      </w:pPr>
    </w:p>
    <w:p w14:paraId="1D9C0943" w14:textId="77777777" w:rsidR="00EE1847" w:rsidRDefault="00EE1847">
      <w:pPr>
        <w:spacing w:after="0" w:line="240" w:lineRule="auto"/>
        <w:ind w:right="622"/>
        <w:jc w:val="center"/>
        <w:rPr>
          <w:rFonts w:ascii="Arial" w:eastAsia="Arial" w:hAnsi="Arial" w:cs="Arial"/>
          <w:b/>
        </w:rPr>
      </w:pPr>
    </w:p>
    <w:p w14:paraId="7E84BC7D" w14:textId="77777777" w:rsidR="00EE1847" w:rsidRDefault="00EE1847">
      <w:pPr>
        <w:spacing w:after="0" w:line="240" w:lineRule="auto"/>
        <w:ind w:right="622"/>
        <w:jc w:val="center"/>
        <w:rPr>
          <w:rFonts w:ascii="Arial" w:eastAsia="Arial" w:hAnsi="Arial" w:cs="Arial"/>
          <w:b/>
        </w:rPr>
      </w:pPr>
    </w:p>
    <w:p w14:paraId="417FC5AA" w14:textId="77777777" w:rsidR="00EE1847" w:rsidRDefault="00EE1847">
      <w:pPr>
        <w:spacing w:after="0" w:line="240" w:lineRule="auto"/>
        <w:ind w:right="622"/>
        <w:jc w:val="center"/>
        <w:rPr>
          <w:rFonts w:ascii="Arial" w:eastAsia="Arial" w:hAnsi="Arial" w:cs="Arial"/>
          <w:b/>
        </w:rPr>
      </w:pPr>
    </w:p>
    <w:p w14:paraId="66F35E6E" w14:textId="77777777" w:rsidR="00EE1847" w:rsidRDefault="00EE1847">
      <w:pPr>
        <w:spacing w:after="0" w:line="240" w:lineRule="auto"/>
        <w:ind w:right="622"/>
        <w:jc w:val="center"/>
        <w:rPr>
          <w:rFonts w:ascii="Arial" w:eastAsia="Arial" w:hAnsi="Arial" w:cs="Arial"/>
          <w:b/>
        </w:rPr>
      </w:pPr>
    </w:p>
    <w:p w14:paraId="76E8AB3B" w14:textId="77777777" w:rsidR="00EE1847" w:rsidRDefault="00EE1847">
      <w:pPr>
        <w:spacing w:after="0" w:line="240" w:lineRule="auto"/>
        <w:ind w:right="622"/>
        <w:jc w:val="center"/>
        <w:rPr>
          <w:rFonts w:ascii="Arial" w:eastAsia="Arial" w:hAnsi="Arial" w:cs="Arial"/>
          <w:b/>
        </w:rPr>
      </w:pPr>
    </w:p>
    <w:p w14:paraId="67140696" w14:textId="77777777" w:rsidR="00EE1847" w:rsidRDefault="00EE1847">
      <w:pPr>
        <w:spacing w:after="0" w:line="240" w:lineRule="auto"/>
        <w:ind w:right="622"/>
        <w:jc w:val="center"/>
        <w:rPr>
          <w:rFonts w:ascii="Arial" w:eastAsia="Arial" w:hAnsi="Arial" w:cs="Arial"/>
          <w:b/>
        </w:rPr>
      </w:pPr>
    </w:p>
    <w:p w14:paraId="66CFE593" w14:textId="77777777" w:rsidR="00EE1847" w:rsidRDefault="00EE1847">
      <w:pPr>
        <w:spacing w:after="0" w:line="240" w:lineRule="auto"/>
        <w:ind w:right="622"/>
        <w:jc w:val="center"/>
        <w:rPr>
          <w:rFonts w:ascii="Arial" w:eastAsia="Arial" w:hAnsi="Arial" w:cs="Arial"/>
          <w:b/>
        </w:rPr>
      </w:pPr>
    </w:p>
    <w:p w14:paraId="376D63ED" w14:textId="77777777" w:rsidR="00EE1847" w:rsidRDefault="00EE1847">
      <w:pPr>
        <w:spacing w:after="0" w:line="240" w:lineRule="auto"/>
        <w:ind w:right="622"/>
        <w:jc w:val="center"/>
        <w:rPr>
          <w:rFonts w:ascii="Arial" w:eastAsia="Arial" w:hAnsi="Arial" w:cs="Arial"/>
          <w:b/>
        </w:rPr>
      </w:pPr>
    </w:p>
    <w:p w14:paraId="1399A385" w14:textId="7CEA1200"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1E8EF5A0" w:rsidR="0078779C" w:rsidRDefault="004815F6">
      <w:pPr>
        <w:spacing w:after="0"/>
        <w:ind w:right="622"/>
        <w:jc w:val="center"/>
        <w:rPr>
          <w:rFonts w:ascii="Arial" w:eastAsia="Arial" w:hAnsi="Arial" w:cs="Arial"/>
          <w:b/>
        </w:rPr>
      </w:pPr>
      <w:bookmarkStart w:id="3" w:name="_Hlk152063566"/>
      <w:r>
        <w:rPr>
          <w:rFonts w:ascii="Arial" w:eastAsia="Arial" w:hAnsi="Arial" w:cs="Arial"/>
          <w:b/>
          <w:bCs/>
        </w:rPr>
        <w:t>OM-10/2024</w:t>
      </w:r>
    </w:p>
    <w:p w14:paraId="3E05DCD9" w14:textId="4C61E0EF"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w:t>
      </w:r>
      <w:r w:rsidR="004815F6">
        <w:rPr>
          <w:rFonts w:ascii="Arial" w:eastAsia="Arial" w:hAnsi="Arial" w:cs="Arial"/>
          <w:b/>
        </w:rPr>
        <w:t>DEL SERVICIO DE ORGANIZACIÓN Y LOGÍSTICA DE TORNEOS CHARROS</w:t>
      </w:r>
      <w:r w:rsidR="00900A98">
        <w:rPr>
          <w:rFonts w:ascii="Arial" w:eastAsia="Arial" w:hAnsi="Arial" w:cs="Arial"/>
          <w:b/>
        </w:rPr>
        <w:t xml:space="preserve"> PARA EL</w:t>
      </w:r>
      <w:r w:rsidR="00356E19">
        <w:rPr>
          <w:rFonts w:ascii="Arial" w:eastAsia="Arial" w:hAnsi="Arial" w:cs="Arial"/>
          <w:b/>
        </w:rPr>
        <w:t xml:space="preserve"> GOBIERNO MUNICIPAL DE TLAJOMULCO DE ZÚÑIGA, JALISCO</w:t>
      </w:r>
      <w:r w:rsidR="000A56ED">
        <w:rPr>
          <w:rFonts w:ascii="Arial" w:eastAsia="Arial" w:hAnsi="Arial" w:cs="Arial"/>
          <w:b/>
        </w:rPr>
        <w:t>”</w:t>
      </w:r>
    </w:p>
    <w:p w14:paraId="538B4537" w14:textId="144958B7" w:rsidR="009E5FA5" w:rsidRPr="00067BD3" w:rsidRDefault="009E5FA5" w:rsidP="00C47550">
      <w:pPr>
        <w:spacing w:after="0" w:line="240" w:lineRule="auto"/>
        <w:ind w:right="622"/>
        <w:jc w:val="both"/>
        <w:rPr>
          <w:rFonts w:ascii="Arial" w:hAnsi="Arial" w:cs="Arial"/>
          <w:sz w:val="20"/>
          <w:szCs w:val="20"/>
        </w:rPr>
      </w:pPr>
    </w:p>
    <w:bookmarkEnd w:id="3"/>
    <w:p w14:paraId="0B2BB9DB" w14:textId="56A30743" w:rsidR="00067BD3" w:rsidRPr="00067BD3" w:rsidRDefault="00067BD3" w:rsidP="00860BBA">
      <w:pPr>
        <w:spacing w:after="0" w:line="240" w:lineRule="auto"/>
        <w:ind w:right="622"/>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 xml:space="preserve">El Gobierno Municipal de Tlajomulco de Zúñiga, Jalisco tiene el requerimiento de contratar el Servicio de </w:t>
      </w:r>
      <w:r w:rsidR="004815F6">
        <w:rPr>
          <w:rFonts w:ascii="Arial" w:eastAsia="Times New Roman" w:hAnsi="Arial" w:cs="Arial"/>
          <w:sz w:val="20"/>
          <w:szCs w:val="20"/>
          <w:lang w:eastAsia="es-ES"/>
        </w:rPr>
        <w:t>ORGANIZACIÓN Y LOGÍSTICA DE TORNEOS CHARROS</w:t>
      </w:r>
      <w:r w:rsidRPr="00067BD3">
        <w:rPr>
          <w:rFonts w:ascii="Arial" w:eastAsia="Times New Roman" w:hAnsi="Arial" w:cs="Arial"/>
          <w:sz w:val="20"/>
          <w:szCs w:val="20"/>
          <w:lang w:eastAsia="es-ES"/>
        </w:rPr>
        <w:t>, servicio deberá contar lo siguiente:</w:t>
      </w:r>
    </w:p>
    <w:p w14:paraId="2785CBB8" w14:textId="77777777" w:rsidR="00067BD3" w:rsidRPr="00067BD3" w:rsidRDefault="00067BD3" w:rsidP="00860BBA">
      <w:pPr>
        <w:spacing w:after="0" w:line="240" w:lineRule="auto"/>
        <w:ind w:right="763"/>
        <w:jc w:val="both"/>
        <w:rPr>
          <w:rFonts w:ascii="Arial" w:eastAsia="Times New Roman" w:hAnsi="Arial" w:cs="Arial"/>
          <w:sz w:val="20"/>
          <w:szCs w:val="20"/>
          <w:lang w:eastAsia="es-ES"/>
        </w:rPr>
      </w:pPr>
    </w:p>
    <w:p w14:paraId="08DFF2C1" w14:textId="77777777" w:rsidR="00860BBA" w:rsidRPr="00860BBA" w:rsidRDefault="00860BBA" w:rsidP="00860BBA">
      <w:pPr>
        <w:spacing w:after="160" w:line="256" w:lineRule="auto"/>
        <w:ind w:left="360" w:right="763" w:firstLine="348"/>
        <w:jc w:val="both"/>
        <w:rPr>
          <w:rFonts w:ascii="Arial" w:hAnsi="Arial" w:cs="Arial"/>
          <w:b/>
          <w:bCs/>
          <w:lang w:eastAsia="en-US"/>
        </w:rPr>
      </w:pPr>
      <w:r w:rsidRPr="00860BBA">
        <w:rPr>
          <w:rFonts w:ascii="Arial" w:hAnsi="Arial" w:cs="Arial"/>
          <w:b/>
          <w:bCs/>
          <w:lang w:eastAsia="en-US"/>
        </w:rPr>
        <w:t>Los servicios de organización y logística deben incluir:</w:t>
      </w:r>
    </w:p>
    <w:p w14:paraId="12707968" w14:textId="77777777" w:rsidR="00860BBA" w:rsidRPr="00860BBA" w:rsidRDefault="00860BBA" w:rsidP="00860BBA">
      <w:pPr>
        <w:numPr>
          <w:ilvl w:val="0"/>
          <w:numId w:val="25"/>
        </w:numPr>
        <w:spacing w:after="160" w:line="256" w:lineRule="auto"/>
        <w:ind w:left="1276" w:right="763"/>
        <w:contextualSpacing/>
        <w:jc w:val="both"/>
        <w:rPr>
          <w:rFonts w:ascii="Arial" w:hAnsi="Arial" w:cs="Arial"/>
          <w:lang w:eastAsia="en-US"/>
        </w:rPr>
      </w:pPr>
      <w:r w:rsidRPr="00860BBA">
        <w:rPr>
          <w:rFonts w:ascii="Arial" w:hAnsi="Arial" w:cs="Arial"/>
          <w:lang w:eastAsia="en-US"/>
        </w:rPr>
        <w:t>Renta de animales para las suertes de colas y jineteo (puede ser desde 4 hasta 15 animales por equipo, dependiendo el evento).</w:t>
      </w:r>
    </w:p>
    <w:p w14:paraId="7FEE5375" w14:textId="77777777" w:rsidR="00860BBA" w:rsidRPr="00860BBA" w:rsidRDefault="00860BBA" w:rsidP="00860BBA">
      <w:pPr>
        <w:numPr>
          <w:ilvl w:val="0"/>
          <w:numId w:val="25"/>
        </w:numPr>
        <w:spacing w:after="160" w:line="256" w:lineRule="auto"/>
        <w:ind w:left="1276" w:right="763"/>
        <w:contextualSpacing/>
        <w:jc w:val="both"/>
        <w:rPr>
          <w:rFonts w:ascii="Arial" w:hAnsi="Arial" w:cs="Arial"/>
          <w:lang w:eastAsia="en-US"/>
        </w:rPr>
      </w:pPr>
      <w:r w:rsidRPr="00860BBA">
        <w:rPr>
          <w:rFonts w:ascii="Arial" w:hAnsi="Arial" w:cs="Arial"/>
          <w:lang w:eastAsia="en-US"/>
        </w:rPr>
        <w:t>Renta de animales para manganas (puede ser desde 4 hasta 15 animales por equipo, dependiendo el evento).</w:t>
      </w:r>
    </w:p>
    <w:p w14:paraId="7504B70C" w14:textId="77777777" w:rsidR="00860BBA" w:rsidRPr="00860BBA" w:rsidRDefault="00860BBA" w:rsidP="00860BBA">
      <w:pPr>
        <w:numPr>
          <w:ilvl w:val="0"/>
          <w:numId w:val="25"/>
        </w:numPr>
        <w:spacing w:after="160" w:line="256" w:lineRule="auto"/>
        <w:ind w:left="1276" w:right="763"/>
        <w:contextualSpacing/>
        <w:jc w:val="both"/>
        <w:rPr>
          <w:rFonts w:ascii="Arial" w:hAnsi="Arial" w:cs="Arial"/>
          <w:lang w:eastAsia="en-US"/>
        </w:rPr>
      </w:pPr>
      <w:r w:rsidRPr="00860BBA">
        <w:rPr>
          <w:rFonts w:ascii="Arial" w:hAnsi="Arial" w:cs="Arial"/>
          <w:lang w:eastAsia="en-US"/>
        </w:rPr>
        <w:t>Renta de animales para piales (puede ser desde 4 hasta 15 animales por equipo, dependiendo el evento).</w:t>
      </w:r>
    </w:p>
    <w:p w14:paraId="50EF37D3" w14:textId="77777777" w:rsidR="00860BBA" w:rsidRPr="00860BBA" w:rsidRDefault="00860BBA" w:rsidP="00860BBA">
      <w:pPr>
        <w:numPr>
          <w:ilvl w:val="0"/>
          <w:numId w:val="25"/>
        </w:numPr>
        <w:spacing w:after="160" w:line="256" w:lineRule="auto"/>
        <w:ind w:left="1276" w:right="763"/>
        <w:contextualSpacing/>
        <w:jc w:val="both"/>
        <w:rPr>
          <w:rFonts w:ascii="Arial" w:hAnsi="Arial" w:cs="Arial"/>
          <w:lang w:eastAsia="en-US"/>
        </w:rPr>
      </w:pPr>
      <w:r w:rsidRPr="00860BBA">
        <w:rPr>
          <w:rFonts w:ascii="Arial" w:hAnsi="Arial" w:cs="Arial"/>
          <w:lang w:eastAsia="en-US"/>
        </w:rPr>
        <w:t>Utilización de los remolques y vehículos necesarios para la transportación desde 8 hasta 35 caballos-yeguas por torneo, ida y vuelta.</w:t>
      </w:r>
    </w:p>
    <w:p w14:paraId="043D8C39" w14:textId="77777777" w:rsidR="00860BBA" w:rsidRPr="00860BBA" w:rsidRDefault="00860BBA" w:rsidP="00860BBA">
      <w:pPr>
        <w:spacing w:after="160" w:line="256" w:lineRule="auto"/>
        <w:ind w:left="720" w:right="763"/>
        <w:contextualSpacing/>
        <w:jc w:val="both"/>
        <w:rPr>
          <w:rFonts w:ascii="Arial" w:hAnsi="Arial" w:cs="Arial"/>
          <w:lang w:eastAsia="en-US"/>
        </w:rPr>
      </w:pPr>
    </w:p>
    <w:p w14:paraId="48390FC4" w14:textId="77777777" w:rsidR="00860BBA" w:rsidRPr="00860BBA" w:rsidRDefault="00860BBA" w:rsidP="00860BBA">
      <w:pPr>
        <w:spacing w:after="160" w:line="256" w:lineRule="auto"/>
        <w:ind w:left="720" w:right="763"/>
        <w:contextualSpacing/>
        <w:jc w:val="both"/>
        <w:rPr>
          <w:rFonts w:ascii="Arial" w:hAnsi="Arial" w:cs="Arial"/>
          <w:b/>
          <w:bCs/>
          <w:lang w:eastAsia="en-US"/>
        </w:rPr>
      </w:pPr>
      <w:r w:rsidRPr="00860BBA">
        <w:rPr>
          <w:rFonts w:ascii="Arial" w:hAnsi="Arial" w:cs="Arial"/>
          <w:b/>
          <w:bCs/>
          <w:lang w:eastAsia="en-US"/>
        </w:rPr>
        <w:t>Los campeonatos a participar son:</w:t>
      </w:r>
    </w:p>
    <w:p w14:paraId="501EC0B9" w14:textId="77777777" w:rsidR="00860BBA" w:rsidRPr="00860BBA" w:rsidRDefault="00860BBA" w:rsidP="00860BBA">
      <w:pPr>
        <w:spacing w:after="160" w:line="256" w:lineRule="auto"/>
        <w:ind w:left="1276" w:right="763"/>
        <w:contextualSpacing/>
        <w:jc w:val="both"/>
        <w:rPr>
          <w:rFonts w:ascii="Arial" w:hAnsi="Arial" w:cs="Arial"/>
          <w:lang w:eastAsia="en-US"/>
        </w:rPr>
      </w:pPr>
    </w:p>
    <w:p w14:paraId="46D44FF9"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Internacional Hacienda Serena en Puerto Vallarta el evento se llevará a cabo en el mes de febrero o marzo 2024.</w:t>
      </w:r>
    </w:p>
    <w:p w14:paraId="5A0CEA55"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Rancho el Sombrero en el municipio de Tapalpa el evento se llevará febrero o marzo del 2024.</w:t>
      </w:r>
    </w:p>
    <w:p w14:paraId="3C86A7C7"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Charritos de Oro el evento se llevará a cabo en el mes de febrero o marzo del 2024.</w:t>
      </w:r>
    </w:p>
    <w:p w14:paraId="14DF6286"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Primer Eliminatoria Estatal para la Olimpiada Nacional el evento se llevará a cabo en el mes de abril o mayo del 2024.</w:t>
      </w:r>
    </w:p>
    <w:p w14:paraId="58D3715D"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Estatal el evento se llevará a cabo en el mes de abril o mayo del 2024.</w:t>
      </w:r>
    </w:p>
    <w:p w14:paraId="42B0EFF3"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Nacionalito Aguascalientes el evento se llevará a cabo en el mes de mayo o junio del 2024.</w:t>
      </w:r>
    </w:p>
    <w:p w14:paraId="18F21E16"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Charras de Acero el evento se llevará a cabo en el mes de mayo o junio del 2024.</w:t>
      </w:r>
    </w:p>
    <w:p w14:paraId="1B78FF8C"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Nacional en San Luis Potosí el evento se llevará a cabo el mes julio o agosto del 2024.</w:t>
      </w:r>
    </w:p>
    <w:p w14:paraId="0BF05144"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de la Nacional de Charros en la Ciudad de México el evento se llevará a cabo en el mes de agosto o septiembre del 2024.</w:t>
      </w:r>
    </w:p>
    <w:p w14:paraId="1D6A420C" w14:textId="77777777" w:rsidR="00860BBA" w:rsidRPr="00860BBA" w:rsidRDefault="00860BBA" w:rsidP="00860BBA">
      <w:pPr>
        <w:numPr>
          <w:ilvl w:val="0"/>
          <w:numId w:val="26"/>
        </w:numPr>
        <w:spacing w:after="160" w:line="256" w:lineRule="auto"/>
        <w:ind w:left="1276" w:right="763"/>
        <w:contextualSpacing/>
        <w:jc w:val="both"/>
        <w:rPr>
          <w:rFonts w:ascii="Arial" w:hAnsi="Arial" w:cs="Arial"/>
          <w:lang w:eastAsia="en-US"/>
        </w:rPr>
      </w:pPr>
      <w:r w:rsidRPr="00860BBA">
        <w:rPr>
          <w:rFonts w:ascii="Arial" w:hAnsi="Arial" w:cs="Arial"/>
          <w:lang w:eastAsia="en-US"/>
        </w:rPr>
        <w:t>Campeonato Millonario Hacienda Vieja el evento se llevará a cabo en el mes de agosto o septiembre del 2024.</w:t>
      </w:r>
    </w:p>
    <w:p w14:paraId="10747D83" w14:textId="77777777" w:rsidR="00860BBA" w:rsidRPr="00860BBA" w:rsidRDefault="00860BBA" w:rsidP="00860BBA">
      <w:pPr>
        <w:spacing w:after="160" w:line="256" w:lineRule="auto"/>
        <w:ind w:left="1276" w:right="763"/>
        <w:contextualSpacing/>
        <w:jc w:val="both"/>
        <w:rPr>
          <w:rFonts w:ascii="Arial" w:hAnsi="Arial" w:cs="Arial"/>
          <w:lang w:eastAsia="en-US"/>
        </w:rPr>
      </w:pPr>
    </w:p>
    <w:p w14:paraId="44E6F844" w14:textId="77777777" w:rsidR="00860BBA" w:rsidRDefault="00860BBA" w:rsidP="00860BBA">
      <w:pPr>
        <w:spacing w:after="0" w:line="240" w:lineRule="auto"/>
        <w:ind w:right="763"/>
        <w:jc w:val="both"/>
        <w:rPr>
          <w:rFonts w:ascii="Arial" w:eastAsia="Arial" w:hAnsi="Arial" w:cs="Arial"/>
          <w:sz w:val="20"/>
          <w:szCs w:val="20"/>
        </w:rPr>
      </w:pPr>
    </w:p>
    <w:p w14:paraId="05083930" w14:textId="77777777" w:rsidR="00860BBA" w:rsidRDefault="00860BBA" w:rsidP="00B32297">
      <w:pPr>
        <w:spacing w:after="0" w:line="240" w:lineRule="auto"/>
        <w:ind w:right="622"/>
        <w:jc w:val="both"/>
        <w:rPr>
          <w:rFonts w:ascii="Arial" w:eastAsia="Arial" w:hAnsi="Arial" w:cs="Arial"/>
          <w:sz w:val="20"/>
          <w:szCs w:val="20"/>
        </w:rPr>
      </w:pPr>
    </w:p>
    <w:p w14:paraId="6BEDC0FB" w14:textId="77777777" w:rsidR="00EE1847" w:rsidRDefault="00EE1847" w:rsidP="00B32297">
      <w:pPr>
        <w:spacing w:after="0" w:line="240" w:lineRule="auto"/>
        <w:ind w:right="622"/>
        <w:jc w:val="both"/>
        <w:rPr>
          <w:rFonts w:ascii="Arial" w:eastAsia="Arial" w:hAnsi="Arial" w:cs="Arial"/>
          <w:sz w:val="20"/>
          <w:szCs w:val="20"/>
        </w:rPr>
      </w:pPr>
    </w:p>
    <w:p w14:paraId="12A7D34F" w14:textId="77777777" w:rsidR="00EE1847" w:rsidRPr="00315BDF" w:rsidRDefault="00EE1847" w:rsidP="00EE1847">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4B624614" w14:textId="37C7BF1E" w:rsidR="00EE1847" w:rsidRPr="00315BDF" w:rsidRDefault="00EE1847" w:rsidP="00EE1847">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w:t>
      </w:r>
      <w:r>
        <w:rPr>
          <w:rFonts w:ascii="Arial" w:hAnsi="Arial" w:cs="Arial"/>
          <w:sz w:val="28"/>
          <w:szCs w:val="28"/>
        </w:rPr>
        <w:t>10</w:t>
      </w:r>
      <w:r w:rsidRPr="00315BDF">
        <w:rPr>
          <w:rFonts w:ascii="Arial" w:hAnsi="Arial" w:cs="Arial"/>
          <w:sz w:val="28"/>
          <w:szCs w:val="28"/>
        </w:rPr>
        <w:t>/202</w:t>
      </w:r>
      <w:r>
        <w:rPr>
          <w:rFonts w:ascii="Arial" w:hAnsi="Arial" w:cs="Arial"/>
          <w:sz w:val="28"/>
          <w:szCs w:val="28"/>
        </w:rPr>
        <w:t>4</w:t>
      </w:r>
    </w:p>
    <w:p w14:paraId="142758F1" w14:textId="77777777" w:rsidR="00EE1847" w:rsidRPr="00315BDF" w:rsidRDefault="00EE1847" w:rsidP="00EE1847">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EE1847" w:rsidRPr="00315BDF" w14:paraId="5AB24762" w14:textId="77777777" w:rsidTr="00F423B1">
        <w:tc>
          <w:tcPr>
            <w:tcW w:w="9054" w:type="dxa"/>
            <w:gridSpan w:val="2"/>
          </w:tcPr>
          <w:p w14:paraId="448BC9B3" w14:textId="77777777" w:rsidR="00EE1847" w:rsidRPr="00315BDF" w:rsidRDefault="00EE1847" w:rsidP="00F423B1">
            <w:pPr>
              <w:jc w:val="center"/>
              <w:rPr>
                <w:rFonts w:ascii="Arial" w:hAnsi="Arial" w:cs="Arial"/>
              </w:rPr>
            </w:pPr>
            <w:r w:rsidRPr="00315BDF">
              <w:rPr>
                <w:rFonts w:ascii="Arial" w:hAnsi="Arial" w:cs="Arial"/>
                <w:noProof/>
              </w:rPr>
              <w:drawing>
                <wp:inline distT="0" distB="0" distL="0" distR="0" wp14:anchorId="64CDC8C4" wp14:editId="459BF50C">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1C5C20D" w14:textId="77777777" w:rsidR="00EE1847" w:rsidRPr="00315BDF" w:rsidRDefault="00EE1847" w:rsidP="00F423B1">
            <w:pPr>
              <w:rPr>
                <w:rFonts w:ascii="Arial" w:hAnsi="Arial" w:cs="Arial"/>
              </w:rPr>
            </w:pPr>
          </w:p>
        </w:tc>
      </w:tr>
      <w:tr w:rsidR="00EE1847" w:rsidRPr="00315BDF" w14:paraId="6FC08EA4" w14:textId="77777777" w:rsidTr="00F423B1">
        <w:tc>
          <w:tcPr>
            <w:tcW w:w="9054" w:type="dxa"/>
            <w:gridSpan w:val="2"/>
          </w:tcPr>
          <w:p w14:paraId="04697291" w14:textId="77777777" w:rsidR="00EE1847" w:rsidRPr="00315BDF" w:rsidRDefault="00EE1847" w:rsidP="00F423B1">
            <w:pPr>
              <w:jc w:val="center"/>
              <w:rPr>
                <w:rFonts w:ascii="Arial" w:hAnsi="Arial" w:cs="Arial"/>
                <w:b/>
              </w:rPr>
            </w:pPr>
            <w:r w:rsidRPr="00315BDF">
              <w:rPr>
                <w:rFonts w:ascii="Arial" w:hAnsi="Arial" w:cs="Arial"/>
                <w:b/>
              </w:rPr>
              <w:t>MUNICIPIO DE TLAJOMULCO DE ZÚÑIGA, JALISCO</w:t>
            </w:r>
          </w:p>
          <w:p w14:paraId="5C5CD0BB" w14:textId="77777777" w:rsidR="00EE1847" w:rsidRPr="00315BDF" w:rsidRDefault="00EE1847" w:rsidP="00F423B1">
            <w:pPr>
              <w:jc w:val="center"/>
              <w:rPr>
                <w:rFonts w:ascii="Arial" w:hAnsi="Arial" w:cs="Arial"/>
              </w:rPr>
            </w:pPr>
            <w:r w:rsidRPr="00315BDF">
              <w:rPr>
                <w:rFonts w:ascii="Arial" w:hAnsi="Arial" w:cs="Arial"/>
                <w:b/>
              </w:rPr>
              <w:t>DIRECCIÓN DE RECURSOS MATERIALES</w:t>
            </w:r>
          </w:p>
        </w:tc>
      </w:tr>
      <w:tr w:rsidR="00EE1847" w:rsidRPr="00315BDF" w14:paraId="627DE870" w14:textId="77777777" w:rsidTr="00F423B1">
        <w:tc>
          <w:tcPr>
            <w:tcW w:w="9054" w:type="dxa"/>
            <w:gridSpan w:val="2"/>
          </w:tcPr>
          <w:p w14:paraId="492D1B52" w14:textId="77777777" w:rsidR="00EE1847" w:rsidRPr="00315BDF" w:rsidRDefault="00EE1847" w:rsidP="00F423B1">
            <w:pPr>
              <w:jc w:val="center"/>
              <w:rPr>
                <w:rFonts w:ascii="Arial" w:hAnsi="Arial" w:cs="Arial"/>
              </w:rPr>
            </w:pPr>
            <w:r w:rsidRPr="00315BDF">
              <w:rPr>
                <w:rFonts w:ascii="Arial" w:hAnsi="Arial" w:cs="Arial"/>
              </w:rPr>
              <w:t>DATOS DE LICITACIÓN</w:t>
            </w:r>
          </w:p>
        </w:tc>
      </w:tr>
      <w:tr w:rsidR="00EE1847" w:rsidRPr="00315BDF" w14:paraId="3C8FA928" w14:textId="77777777" w:rsidTr="00F423B1">
        <w:tc>
          <w:tcPr>
            <w:tcW w:w="9054" w:type="dxa"/>
            <w:gridSpan w:val="2"/>
          </w:tcPr>
          <w:p w14:paraId="134AEDC0" w14:textId="77777777" w:rsidR="00EE1847" w:rsidRPr="00315BDF" w:rsidRDefault="00EE1847" w:rsidP="00F423B1">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sidRPr="00DB3302">
              <w:rPr>
                <w:rFonts w:ascii="Arial" w:hAnsi="Arial" w:cs="Arial"/>
                <w:sz w:val="20"/>
                <w:szCs w:val="20"/>
              </w:rPr>
              <w:t xml:space="preserve">383.00 </w:t>
            </w:r>
            <w:r w:rsidRPr="00315BDF">
              <w:rPr>
                <w:rFonts w:ascii="Arial" w:hAnsi="Arial" w:cs="Arial"/>
                <w:sz w:val="20"/>
                <w:szCs w:val="20"/>
              </w:rPr>
              <w:t xml:space="preserve">CON LETRA: </w:t>
            </w:r>
            <w:r>
              <w:rPr>
                <w:rFonts w:ascii="Arial" w:hAnsi="Arial" w:cs="Arial"/>
                <w:sz w:val="20"/>
                <w:szCs w:val="20"/>
              </w:rPr>
              <w:t>TRESCIENTOS OCHENTA Y TRES PESOS</w:t>
            </w:r>
            <w:r w:rsidRPr="00315BDF">
              <w:rPr>
                <w:rFonts w:ascii="Arial" w:hAnsi="Arial" w:cs="Arial"/>
                <w:sz w:val="20"/>
                <w:szCs w:val="20"/>
              </w:rPr>
              <w:t>, 00/100, M. N.</w:t>
            </w:r>
          </w:p>
        </w:tc>
      </w:tr>
      <w:tr w:rsidR="00EE1847" w:rsidRPr="00315BDF" w14:paraId="5E3E44DA" w14:textId="77777777" w:rsidTr="00F423B1">
        <w:trPr>
          <w:trHeight w:val="1932"/>
        </w:trPr>
        <w:tc>
          <w:tcPr>
            <w:tcW w:w="4527" w:type="dxa"/>
          </w:tcPr>
          <w:p w14:paraId="6E59252A" w14:textId="77777777" w:rsidR="00EE1847" w:rsidRPr="00315BDF" w:rsidRDefault="00EE1847" w:rsidP="00F423B1">
            <w:pPr>
              <w:jc w:val="both"/>
              <w:rPr>
                <w:rFonts w:ascii="Arial" w:hAnsi="Arial" w:cs="Arial"/>
              </w:rPr>
            </w:pPr>
          </w:p>
        </w:tc>
        <w:tc>
          <w:tcPr>
            <w:tcW w:w="4527" w:type="dxa"/>
          </w:tcPr>
          <w:p w14:paraId="43B865EB" w14:textId="3705CDAE" w:rsidR="00EE1847" w:rsidRDefault="00EE1847" w:rsidP="00EE1847">
            <w:pPr>
              <w:jc w:val="both"/>
              <w:rPr>
                <w:rFonts w:ascii="Arial" w:eastAsia="Arial" w:hAnsi="Arial" w:cs="Arial"/>
                <w:b/>
              </w:rPr>
            </w:pPr>
            <w:r>
              <w:rPr>
                <w:rFonts w:ascii="Arial" w:eastAsia="Arial" w:hAnsi="Arial" w:cs="Arial"/>
                <w:b/>
                <w:bCs/>
              </w:rPr>
              <w:t>OM-10/2024</w:t>
            </w:r>
            <w:r>
              <w:rPr>
                <w:rFonts w:ascii="Arial" w:eastAsia="Arial" w:hAnsi="Arial" w:cs="Arial"/>
                <w:b/>
                <w:bCs/>
              </w:rPr>
              <w:t xml:space="preserve"> </w:t>
            </w:r>
            <w:r>
              <w:rPr>
                <w:rFonts w:ascii="Arial" w:eastAsia="Arial" w:hAnsi="Arial" w:cs="Arial"/>
                <w:b/>
              </w:rPr>
              <w:t>“ADQUISICIÓN DEL SERVICIO DE ORGANIZACIÓN Y LOGÍSTICA DE TORNEOS CHARROS PARA EL GOBIERNO MUNICIPAL DE TLAJOMULCO DE ZÚÑIGA, JALISCO”</w:t>
            </w:r>
          </w:p>
          <w:p w14:paraId="6CF3C0F4" w14:textId="142AC091" w:rsidR="00EE1847" w:rsidRPr="008A22EE" w:rsidRDefault="00EE1847" w:rsidP="00F423B1">
            <w:pPr>
              <w:jc w:val="both"/>
              <w:rPr>
                <w:rFonts w:ascii="Arial" w:eastAsia="Arial" w:hAnsi="Arial" w:cs="Arial"/>
                <w:b/>
              </w:rPr>
            </w:pPr>
            <w:r>
              <w:rPr>
                <w:rFonts w:ascii="Arial" w:eastAsia="Arial" w:hAnsi="Arial" w:cs="Arial"/>
                <w:b/>
              </w:rPr>
              <w:t xml:space="preserve"> </w:t>
            </w:r>
          </w:p>
        </w:tc>
      </w:tr>
      <w:tr w:rsidR="00EE1847" w:rsidRPr="00315BDF" w14:paraId="739A2FD4" w14:textId="77777777" w:rsidTr="00F423B1">
        <w:tc>
          <w:tcPr>
            <w:tcW w:w="9054" w:type="dxa"/>
            <w:gridSpan w:val="2"/>
          </w:tcPr>
          <w:p w14:paraId="15E454E9" w14:textId="77777777" w:rsidR="00EE1847" w:rsidRPr="00315BDF" w:rsidRDefault="00EE1847" w:rsidP="00F423B1">
            <w:pPr>
              <w:jc w:val="center"/>
              <w:rPr>
                <w:rFonts w:ascii="Arial" w:hAnsi="Arial" w:cs="Arial"/>
                <w:b/>
              </w:rPr>
            </w:pPr>
            <w:r w:rsidRPr="00315BDF">
              <w:rPr>
                <w:rFonts w:ascii="Arial" w:hAnsi="Arial" w:cs="Arial"/>
                <w:b/>
              </w:rPr>
              <w:t>DATOS DEL LICITANTE</w:t>
            </w:r>
          </w:p>
        </w:tc>
      </w:tr>
      <w:tr w:rsidR="00EE1847" w:rsidRPr="00315BDF" w14:paraId="71F55341" w14:textId="77777777" w:rsidTr="00F423B1">
        <w:tc>
          <w:tcPr>
            <w:tcW w:w="4527" w:type="dxa"/>
          </w:tcPr>
          <w:p w14:paraId="7D29D943" w14:textId="77777777" w:rsidR="00EE1847" w:rsidRPr="00315BDF" w:rsidRDefault="00EE1847" w:rsidP="00F423B1">
            <w:pPr>
              <w:jc w:val="both"/>
              <w:rPr>
                <w:rFonts w:ascii="Arial" w:hAnsi="Arial" w:cs="Arial"/>
              </w:rPr>
            </w:pPr>
            <w:r w:rsidRPr="00315BDF">
              <w:rPr>
                <w:rFonts w:ascii="Arial" w:hAnsi="Arial" w:cs="Arial"/>
              </w:rPr>
              <w:t xml:space="preserve">LICITANTE </w:t>
            </w:r>
          </w:p>
        </w:tc>
        <w:tc>
          <w:tcPr>
            <w:tcW w:w="4527" w:type="dxa"/>
          </w:tcPr>
          <w:p w14:paraId="4980EC48" w14:textId="77777777" w:rsidR="00EE1847" w:rsidRPr="00315BDF" w:rsidRDefault="00EE1847" w:rsidP="00F423B1">
            <w:pPr>
              <w:jc w:val="both"/>
              <w:rPr>
                <w:rFonts w:ascii="Arial" w:hAnsi="Arial" w:cs="Arial"/>
              </w:rPr>
            </w:pPr>
          </w:p>
        </w:tc>
      </w:tr>
      <w:tr w:rsidR="00EE1847" w:rsidRPr="00315BDF" w14:paraId="25771130" w14:textId="77777777" w:rsidTr="00F423B1">
        <w:tc>
          <w:tcPr>
            <w:tcW w:w="4527" w:type="dxa"/>
          </w:tcPr>
          <w:p w14:paraId="6B87E14B" w14:textId="77777777" w:rsidR="00EE1847" w:rsidRPr="00315BDF" w:rsidRDefault="00EE1847" w:rsidP="00F423B1">
            <w:pPr>
              <w:jc w:val="both"/>
              <w:rPr>
                <w:rFonts w:ascii="Arial" w:hAnsi="Arial" w:cs="Arial"/>
              </w:rPr>
            </w:pPr>
            <w:r w:rsidRPr="00315BDF">
              <w:rPr>
                <w:rFonts w:ascii="Arial" w:hAnsi="Arial" w:cs="Arial"/>
              </w:rPr>
              <w:t>R. F. C.</w:t>
            </w:r>
          </w:p>
        </w:tc>
        <w:tc>
          <w:tcPr>
            <w:tcW w:w="4527" w:type="dxa"/>
          </w:tcPr>
          <w:p w14:paraId="56DADDAD" w14:textId="77777777" w:rsidR="00EE1847" w:rsidRPr="00315BDF" w:rsidRDefault="00EE1847" w:rsidP="00F423B1">
            <w:pPr>
              <w:jc w:val="both"/>
              <w:rPr>
                <w:rFonts w:ascii="Arial" w:hAnsi="Arial" w:cs="Arial"/>
              </w:rPr>
            </w:pPr>
          </w:p>
        </w:tc>
      </w:tr>
      <w:tr w:rsidR="00EE1847" w:rsidRPr="00315BDF" w14:paraId="05C84E19" w14:textId="77777777" w:rsidTr="00F423B1">
        <w:tc>
          <w:tcPr>
            <w:tcW w:w="4527" w:type="dxa"/>
          </w:tcPr>
          <w:p w14:paraId="63DB2205" w14:textId="77777777" w:rsidR="00EE1847" w:rsidRPr="00315BDF" w:rsidRDefault="00EE1847" w:rsidP="00F423B1">
            <w:pPr>
              <w:jc w:val="both"/>
              <w:rPr>
                <w:rFonts w:ascii="Arial" w:hAnsi="Arial" w:cs="Arial"/>
              </w:rPr>
            </w:pPr>
            <w:r w:rsidRPr="00315BDF">
              <w:rPr>
                <w:rFonts w:ascii="Arial" w:hAnsi="Arial" w:cs="Arial"/>
              </w:rPr>
              <w:t>NO. DE PROVEEDOR (PARA EL CASO DE CONTAR CON NÚMERO)</w:t>
            </w:r>
          </w:p>
        </w:tc>
        <w:tc>
          <w:tcPr>
            <w:tcW w:w="4527" w:type="dxa"/>
          </w:tcPr>
          <w:p w14:paraId="68B513DF" w14:textId="77777777" w:rsidR="00EE1847" w:rsidRPr="00315BDF" w:rsidRDefault="00EE1847" w:rsidP="00F423B1">
            <w:pPr>
              <w:tabs>
                <w:tab w:val="left" w:pos="1628"/>
              </w:tabs>
              <w:jc w:val="both"/>
              <w:rPr>
                <w:rFonts w:ascii="Arial" w:hAnsi="Arial" w:cs="Arial"/>
              </w:rPr>
            </w:pPr>
          </w:p>
        </w:tc>
      </w:tr>
      <w:tr w:rsidR="00EE1847" w:rsidRPr="00315BDF" w14:paraId="154193AD" w14:textId="77777777" w:rsidTr="00F423B1">
        <w:tc>
          <w:tcPr>
            <w:tcW w:w="4527" w:type="dxa"/>
          </w:tcPr>
          <w:p w14:paraId="7068C0C3" w14:textId="77777777" w:rsidR="00EE1847" w:rsidRPr="00315BDF" w:rsidRDefault="00EE1847" w:rsidP="00F423B1">
            <w:pPr>
              <w:jc w:val="both"/>
              <w:rPr>
                <w:rFonts w:ascii="Arial" w:hAnsi="Arial" w:cs="Arial"/>
              </w:rPr>
            </w:pPr>
            <w:r w:rsidRPr="00315BDF">
              <w:rPr>
                <w:rFonts w:ascii="Arial" w:hAnsi="Arial" w:cs="Arial"/>
              </w:rPr>
              <w:t>NOMBRE DE REPRESENTANTE</w:t>
            </w:r>
          </w:p>
        </w:tc>
        <w:tc>
          <w:tcPr>
            <w:tcW w:w="4527" w:type="dxa"/>
          </w:tcPr>
          <w:p w14:paraId="7DB7F511" w14:textId="77777777" w:rsidR="00EE1847" w:rsidRPr="00315BDF" w:rsidRDefault="00EE1847" w:rsidP="00F423B1">
            <w:pPr>
              <w:jc w:val="both"/>
              <w:rPr>
                <w:rFonts w:ascii="Arial" w:hAnsi="Arial" w:cs="Arial"/>
              </w:rPr>
            </w:pPr>
          </w:p>
        </w:tc>
      </w:tr>
      <w:tr w:rsidR="00EE1847" w:rsidRPr="00315BDF" w14:paraId="0D2C816C" w14:textId="77777777" w:rsidTr="00F423B1">
        <w:tc>
          <w:tcPr>
            <w:tcW w:w="4527" w:type="dxa"/>
          </w:tcPr>
          <w:p w14:paraId="0FCB0920" w14:textId="77777777" w:rsidR="00EE1847" w:rsidRPr="00315BDF" w:rsidRDefault="00EE1847" w:rsidP="00F423B1">
            <w:pPr>
              <w:jc w:val="both"/>
              <w:rPr>
                <w:rFonts w:ascii="Arial" w:hAnsi="Arial" w:cs="Arial"/>
              </w:rPr>
            </w:pPr>
            <w:r w:rsidRPr="00315BDF">
              <w:rPr>
                <w:rFonts w:ascii="Arial" w:hAnsi="Arial" w:cs="Arial"/>
              </w:rPr>
              <w:t>TELÉFONO CELULAR DE CONTACTO</w:t>
            </w:r>
          </w:p>
        </w:tc>
        <w:tc>
          <w:tcPr>
            <w:tcW w:w="4527" w:type="dxa"/>
          </w:tcPr>
          <w:p w14:paraId="7B29C9B8" w14:textId="77777777" w:rsidR="00EE1847" w:rsidRPr="00315BDF" w:rsidRDefault="00EE1847" w:rsidP="00F423B1">
            <w:pPr>
              <w:jc w:val="both"/>
              <w:rPr>
                <w:rFonts w:ascii="Arial" w:hAnsi="Arial" w:cs="Arial"/>
              </w:rPr>
            </w:pPr>
          </w:p>
        </w:tc>
      </w:tr>
      <w:tr w:rsidR="00EE1847" w:rsidRPr="00315BDF" w14:paraId="5AF9607D" w14:textId="77777777" w:rsidTr="00F423B1">
        <w:trPr>
          <w:trHeight w:val="442"/>
        </w:trPr>
        <w:tc>
          <w:tcPr>
            <w:tcW w:w="4527" w:type="dxa"/>
          </w:tcPr>
          <w:p w14:paraId="7F6DBD29" w14:textId="77777777" w:rsidR="00EE1847" w:rsidRPr="00315BDF" w:rsidRDefault="00EE1847" w:rsidP="00F423B1">
            <w:pPr>
              <w:jc w:val="both"/>
              <w:rPr>
                <w:rFonts w:ascii="Arial" w:hAnsi="Arial" w:cs="Arial"/>
              </w:rPr>
            </w:pPr>
            <w:r w:rsidRPr="00315BDF">
              <w:rPr>
                <w:rFonts w:ascii="Arial" w:hAnsi="Arial" w:cs="Arial"/>
              </w:rPr>
              <w:t xml:space="preserve">CORREO ELECTRÓNICO </w:t>
            </w:r>
          </w:p>
        </w:tc>
        <w:tc>
          <w:tcPr>
            <w:tcW w:w="4527" w:type="dxa"/>
          </w:tcPr>
          <w:p w14:paraId="2FFEBF30" w14:textId="77777777" w:rsidR="00EE1847" w:rsidRPr="00315BDF" w:rsidRDefault="00EE1847" w:rsidP="00F423B1">
            <w:pPr>
              <w:jc w:val="both"/>
              <w:rPr>
                <w:rFonts w:ascii="Arial" w:hAnsi="Arial" w:cs="Arial"/>
              </w:rPr>
            </w:pPr>
          </w:p>
        </w:tc>
      </w:tr>
      <w:tr w:rsidR="00EE1847" w:rsidRPr="00315BDF" w14:paraId="06DEDC48" w14:textId="77777777" w:rsidTr="00F423B1">
        <w:tc>
          <w:tcPr>
            <w:tcW w:w="9054" w:type="dxa"/>
            <w:gridSpan w:val="2"/>
          </w:tcPr>
          <w:p w14:paraId="2BF78343" w14:textId="77777777" w:rsidR="00EE1847" w:rsidRPr="00315BDF" w:rsidRDefault="00EE1847" w:rsidP="00F423B1">
            <w:pPr>
              <w:jc w:val="center"/>
              <w:rPr>
                <w:rFonts w:ascii="Arial" w:hAnsi="Arial" w:cs="Arial"/>
              </w:rPr>
            </w:pPr>
          </w:p>
          <w:p w14:paraId="517371BD" w14:textId="77777777" w:rsidR="00EE1847" w:rsidRPr="00315BDF" w:rsidRDefault="00EE1847" w:rsidP="00F423B1">
            <w:pPr>
              <w:jc w:val="center"/>
              <w:rPr>
                <w:rFonts w:ascii="Arial" w:hAnsi="Arial" w:cs="Arial"/>
              </w:rPr>
            </w:pPr>
            <w:r w:rsidRPr="00315BDF">
              <w:rPr>
                <w:rFonts w:ascii="Arial" w:hAnsi="Arial" w:cs="Arial"/>
              </w:rPr>
              <w:t>Sello autorización área responsable</w:t>
            </w:r>
          </w:p>
          <w:p w14:paraId="54DF35AD" w14:textId="77777777" w:rsidR="00EE1847" w:rsidRPr="00315BDF" w:rsidRDefault="00EE1847" w:rsidP="00F423B1">
            <w:pPr>
              <w:rPr>
                <w:rFonts w:ascii="Arial" w:hAnsi="Arial" w:cs="Arial"/>
              </w:rPr>
            </w:pPr>
          </w:p>
          <w:p w14:paraId="121B1BC5" w14:textId="77777777" w:rsidR="00EE1847" w:rsidRPr="00315BDF" w:rsidRDefault="00EE1847" w:rsidP="00F423B1">
            <w:pPr>
              <w:rPr>
                <w:rFonts w:ascii="Arial" w:hAnsi="Arial" w:cs="Arial"/>
              </w:rPr>
            </w:pPr>
          </w:p>
          <w:p w14:paraId="350519F3" w14:textId="77777777" w:rsidR="00EE1847" w:rsidRPr="00315BDF" w:rsidRDefault="00EE1847" w:rsidP="00F423B1">
            <w:pPr>
              <w:rPr>
                <w:rFonts w:ascii="Arial" w:hAnsi="Arial" w:cs="Arial"/>
              </w:rPr>
            </w:pPr>
          </w:p>
          <w:p w14:paraId="1FC160C3" w14:textId="77777777" w:rsidR="00EE1847" w:rsidRPr="00351AEE" w:rsidRDefault="00EE1847" w:rsidP="00F423B1">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58A9D861" w14:textId="77777777" w:rsidR="00EE1847" w:rsidRPr="005934B6" w:rsidRDefault="00EE1847" w:rsidP="00F423B1">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2EB55DDF" w14:textId="77777777" w:rsidR="00EE1847" w:rsidRPr="00315BDF" w:rsidRDefault="00EE1847" w:rsidP="00EE1847">
      <w:pPr>
        <w:spacing w:after="0"/>
        <w:rPr>
          <w:rFonts w:ascii="Arial" w:hAnsi="Arial" w:cs="Arial"/>
        </w:rPr>
      </w:pPr>
    </w:p>
    <w:p w14:paraId="7EDEF1D3" w14:textId="77777777" w:rsidR="00EE1847" w:rsidRPr="00315BDF" w:rsidRDefault="00EE1847" w:rsidP="00EE1847">
      <w:pPr>
        <w:spacing w:after="0"/>
        <w:rPr>
          <w:rFonts w:ascii="Arial" w:hAnsi="Arial" w:cs="Arial"/>
        </w:rPr>
      </w:pPr>
    </w:p>
    <w:p w14:paraId="49F0263C" w14:textId="77777777" w:rsidR="00EE1847" w:rsidRPr="00315BDF" w:rsidRDefault="00EE1847" w:rsidP="00EE1847">
      <w:pPr>
        <w:spacing w:after="0"/>
        <w:rPr>
          <w:rFonts w:ascii="Arial" w:hAnsi="Arial" w:cs="Arial"/>
          <w:sz w:val="20"/>
          <w:szCs w:val="20"/>
        </w:rPr>
      </w:pPr>
      <w:r w:rsidRPr="00315BDF">
        <w:rPr>
          <w:rFonts w:ascii="Arial" w:hAnsi="Arial" w:cs="Arial"/>
          <w:sz w:val="20"/>
          <w:szCs w:val="20"/>
        </w:rPr>
        <w:t>Favor de llenar a máquina o con letra de molde</w:t>
      </w:r>
    </w:p>
    <w:p w14:paraId="1CF7ABEF" w14:textId="77777777" w:rsidR="00EE1847" w:rsidRPr="001D7BC6" w:rsidRDefault="00EE1847" w:rsidP="00EE1847">
      <w:pPr>
        <w:spacing w:after="0" w:line="240" w:lineRule="auto"/>
        <w:jc w:val="both"/>
        <w:rPr>
          <w:rFonts w:ascii="Arial" w:eastAsia="Times New Roman" w:hAnsi="Arial" w:cs="Arial"/>
          <w:lang w:eastAsia="es-ES"/>
        </w:rPr>
      </w:pPr>
    </w:p>
    <w:p w14:paraId="648BA505" w14:textId="77777777" w:rsidR="00EE1847" w:rsidRDefault="00EE1847" w:rsidP="00EE1847">
      <w:pPr>
        <w:pStyle w:val="Standard"/>
        <w:jc w:val="both"/>
        <w:rPr>
          <w:rFonts w:ascii="Arial" w:hAnsi="Arial" w:cs="Arial"/>
          <w:color w:val="000000"/>
        </w:rPr>
      </w:pPr>
    </w:p>
    <w:p w14:paraId="5C46AFAB" w14:textId="77777777" w:rsidR="00EE1847" w:rsidRDefault="00EE1847" w:rsidP="00EE1847">
      <w:pPr>
        <w:spacing w:after="0" w:line="240" w:lineRule="auto"/>
        <w:ind w:right="622"/>
        <w:jc w:val="both"/>
        <w:rPr>
          <w:rFonts w:ascii="Arial" w:eastAsia="Arial" w:hAnsi="Arial" w:cs="Arial"/>
          <w:sz w:val="20"/>
          <w:szCs w:val="20"/>
        </w:rPr>
      </w:pPr>
    </w:p>
    <w:p w14:paraId="1ECE20D2" w14:textId="77777777" w:rsidR="00EE1847" w:rsidRPr="00067BD3" w:rsidRDefault="00EE1847" w:rsidP="00EE1847">
      <w:pPr>
        <w:spacing w:after="0" w:line="240" w:lineRule="auto"/>
        <w:ind w:right="622"/>
        <w:jc w:val="both"/>
        <w:rPr>
          <w:rFonts w:ascii="Arial" w:eastAsia="Arial" w:hAnsi="Arial" w:cs="Arial"/>
          <w:sz w:val="20"/>
          <w:szCs w:val="20"/>
        </w:rPr>
      </w:pPr>
    </w:p>
    <w:p w14:paraId="72DF6B43" w14:textId="77777777" w:rsidR="00860BBA" w:rsidRDefault="00860BBA" w:rsidP="00B32297">
      <w:pPr>
        <w:spacing w:after="0" w:line="240" w:lineRule="auto"/>
        <w:ind w:right="622"/>
        <w:jc w:val="both"/>
        <w:rPr>
          <w:rFonts w:ascii="Arial" w:eastAsia="Arial" w:hAnsi="Arial" w:cs="Arial"/>
          <w:sz w:val="20"/>
          <w:szCs w:val="20"/>
        </w:rPr>
      </w:pPr>
    </w:p>
    <w:sectPr w:rsidR="00860BBA" w:rsidSect="00B3368D">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22BE" w14:textId="77777777" w:rsidR="00B3368D" w:rsidRDefault="00B3368D">
      <w:pPr>
        <w:spacing w:after="0" w:line="240" w:lineRule="auto"/>
      </w:pPr>
      <w:r>
        <w:separator/>
      </w:r>
    </w:p>
  </w:endnote>
  <w:endnote w:type="continuationSeparator" w:id="0">
    <w:p w14:paraId="70C00686" w14:textId="77777777" w:rsidR="00B3368D" w:rsidRDefault="00B3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2688" w14:textId="77777777" w:rsidR="00B3368D" w:rsidRDefault="00B3368D">
      <w:pPr>
        <w:spacing w:after="0" w:line="240" w:lineRule="auto"/>
      </w:pPr>
      <w:r>
        <w:separator/>
      </w:r>
    </w:p>
  </w:footnote>
  <w:footnote w:type="continuationSeparator" w:id="0">
    <w:p w14:paraId="30B86475" w14:textId="77777777" w:rsidR="00B3368D" w:rsidRDefault="00B3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2"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3"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5"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9"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5E35C27"/>
    <w:multiLevelType w:val="hybridMultilevel"/>
    <w:tmpl w:val="6B4E1854"/>
    <w:numStyleLink w:val="Estiloimportado4"/>
  </w:abstractNum>
  <w:abstractNum w:abstractNumId="22"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4"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1"/>
  </w:num>
  <w:num w:numId="2" w16cid:durableId="420109474">
    <w:abstractNumId w:val="7"/>
  </w:num>
  <w:num w:numId="3" w16cid:durableId="181625288">
    <w:abstractNumId w:val="12"/>
  </w:num>
  <w:num w:numId="4" w16cid:durableId="245577951">
    <w:abstractNumId w:val="18"/>
  </w:num>
  <w:num w:numId="5" w16cid:durableId="1767382669">
    <w:abstractNumId w:val="2"/>
  </w:num>
  <w:num w:numId="6" w16cid:durableId="772552909">
    <w:abstractNumId w:val="17"/>
  </w:num>
  <w:num w:numId="7" w16cid:durableId="1553686826">
    <w:abstractNumId w:val="4"/>
  </w:num>
  <w:num w:numId="8" w16cid:durableId="1649943635">
    <w:abstractNumId w:val="9"/>
  </w:num>
  <w:num w:numId="9" w16cid:durableId="1339111889">
    <w:abstractNumId w:val="13"/>
  </w:num>
  <w:num w:numId="10" w16cid:durableId="1816948548">
    <w:abstractNumId w:val="1"/>
  </w:num>
  <w:num w:numId="11" w16cid:durableId="1507211145">
    <w:abstractNumId w:val="8"/>
  </w:num>
  <w:num w:numId="12" w16cid:durableId="722171780">
    <w:abstractNumId w:val="15"/>
  </w:num>
  <w:num w:numId="13" w16cid:durableId="1336958855">
    <w:abstractNumId w:val="22"/>
  </w:num>
  <w:num w:numId="14" w16cid:durableId="696081709">
    <w:abstractNumId w:val="16"/>
  </w:num>
  <w:num w:numId="15" w16cid:durableId="1107385596">
    <w:abstractNumId w:val="21"/>
  </w:num>
  <w:num w:numId="16" w16cid:durableId="1330644892">
    <w:abstractNumId w:val="21"/>
    <w:lvlOverride w:ilvl="0">
      <w:lvl w:ilvl="0" w:tplc="7048D4AE">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0894EA">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3234B0">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1E7BA8">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743746">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420976">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FAAAB8">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DAB37C">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30C57A">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3"/>
  </w:num>
  <w:num w:numId="18" w16cid:durableId="2087455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4"/>
  </w:num>
  <w:num w:numId="20" w16cid:durableId="34316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4"/>
  </w:num>
  <w:num w:numId="22" w16cid:durableId="1556772911">
    <w:abstractNumId w:val="20"/>
  </w:num>
  <w:num w:numId="23" w16cid:durableId="982857432">
    <w:abstractNumId w:val="3"/>
  </w:num>
  <w:num w:numId="24" w16cid:durableId="1399942023">
    <w:abstractNumId w:val="19"/>
  </w:num>
  <w:num w:numId="25" w16cid:durableId="2872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67BD3"/>
    <w:rsid w:val="00070438"/>
    <w:rsid w:val="0008209F"/>
    <w:rsid w:val="000862DD"/>
    <w:rsid w:val="00087681"/>
    <w:rsid w:val="00090E4A"/>
    <w:rsid w:val="00093921"/>
    <w:rsid w:val="00097BAF"/>
    <w:rsid w:val="000A1292"/>
    <w:rsid w:val="000A56ED"/>
    <w:rsid w:val="000A798F"/>
    <w:rsid w:val="000B37C6"/>
    <w:rsid w:val="000B633E"/>
    <w:rsid w:val="000D2344"/>
    <w:rsid w:val="000D76BC"/>
    <w:rsid w:val="000D7E28"/>
    <w:rsid w:val="000F18CF"/>
    <w:rsid w:val="000F1FF1"/>
    <w:rsid w:val="000F37F0"/>
    <w:rsid w:val="000F48E6"/>
    <w:rsid w:val="00113562"/>
    <w:rsid w:val="00116277"/>
    <w:rsid w:val="0012726F"/>
    <w:rsid w:val="001301C1"/>
    <w:rsid w:val="00130E60"/>
    <w:rsid w:val="00142241"/>
    <w:rsid w:val="00142A86"/>
    <w:rsid w:val="00154447"/>
    <w:rsid w:val="00160046"/>
    <w:rsid w:val="00167384"/>
    <w:rsid w:val="00171518"/>
    <w:rsid w:val="001736C3"/>
    <w:rsid w:val="001750D4"/>
    <w:rsid w:val="00177B40"/>
    <w:rsid w:val="00180D2B"/>
    <w:rsid w:val="001868B0"/>
    <w:rsid w:val="00196150"/>
    <w:rsid w:val="00197B67"/>
    <w:rsid w:val="001A2BE9"/>
    <w:rsid w:val="001A3279"/>
    <w:rsid w:val="001A7295"/>
    <w:rsid w:val="001D24EB"/>
    <w:rsid w:val="001D2A23"/>
    <w:rsid w:val="001D56A1"/>
    <w:rsid w:val="001D5B08"/>
    <w:rsid w:val="001D7BC6"/>
    <w:rsid w:val="001E3216"/>
    <w:rsid w:val="001E3F12"/>
    <w:rsid w:val="001E7283"/>
    <w:rsid w:val="0020470D"/>
    <w:rsid w:val="00204A8F"/>
    <w:rsid w:val="00204F64"/>
    <w:rsid w:val="00205E09"/>
    <w:rsid w:val="00207F3F"/>
    <w:rsid w:val="0022730C"/>
    <w:rsid w:val="00240817"/>
    <w:rsid w:val="002454AE"/>
    <w:rsid w:val="0025719C"/>
    <w:rsid w:val="00263F47"/>
    <w:rsid w:val="002649E8"/>
    <w:rsid w:val="002660C7"/>
    <w:rsid w:val="0028521C"/>
    <w:rsid w:val="002A56F2"/>
    <w:rsid w:val="002A6CC2"/>
    <w:rsid w:val="002C5A50"/>
    <w:rsid w:val="0031007A"/>
    <w:rsid w:val="003238E3"/>
    <w:rsid w:val="0034354D"/>
    <w:rsid w:val="00346D5D"/>
    <w:rsid w:val="00347E14"/>
    <w:rsid w:val="003513AC"/>
    <w:rsid w:val="00356E19"/>
    <w:rsid w:val="00365B30"/>
    <w:rsid w:val="00371CB1"/>
    <w:rsid w:val="0039143B"/>
    <w:rsid w:val="00394146"/>
    <w:rsid w:val="00394374"/>
    <w:rsid w:val="00394A9D"/>
    <w:rsid w:val="00394B7C"/>
    <w:rsid w:val="003A3AB9"/>
    <w:rsid w:val="003B1914"/>
    <w:rsid w:val="003B5BD3"/>
    <w:rsid w:val="003E7D58"/>
    <w:rsid w:val="003F2272"/>
    <w:rsid w:val="003F3D2D"/>
    <w:rsid w:val="003F6B40"/>
    <w:rsid w:val="00401E6B"/>
    <w:rsid w:val="004034FD"/>
    <w:rsid w:val="004063D7"/>
    <w:rsid w:val="004223BD"/>
    <w:rsid w:val="00425286"/>
    <w:rsid w:val="00430D72"/>
    <w:rsid w:val="00433930"/>
    <w:rsid w:val="004374A6"/>
    <w:rsid w:val="00437D53"/>
    <w:rsid w:val="0046324E"/>
    <w:rsid w:val="004645AD"/>
    <w:rsid w:val="00475100"/>
    <w:rsid w:val="00475A56"/>
    <w:rsid w:val="00475E1F"/>
    <w:rsid w:val="00477353"/>
    <w:rsid w:val="004815F6"/>
    <w:rsid w:val="00491EB9"/>
    <w:rsid w:val="004A0E4C"/>
    <w:rsid w:val="004A4633"/>
    <w:rsid w:val="004A4BC4"/>
    <w:rsid w:val="004A5777"/>
    <w:rsid w:val="004B2D97"/>
    <w:rsid w:val="004B40C8"/>
    <w:rsid w:val="004D2558"/>
    <w:rsid w:val="004D71E0"/>
    <w:rsid w:val="004E1758"/>
    <w:rsid w:val="004E763F"/>
    <w:rsid w:val="004F0EDF"/>
    <w:rsid w:val="004F4B7C"/>
    <w:rsid w:val="0050079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D724A"/>
    <w:rsid w:val="00604F47"/>
    <w:rsid w:val="00613D8D"/>
    <w:rsid w:val="00624BF8"/>
    <w:rsid w:val="00633A05"/>
    <w:rsid w:val="00636237"/>
    <w:rsid w:val="00637D4F"/>
    <w:rsid w:val="00661693"/>
    <w:rsid w:val="0066404A"/>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503F9"/>
    <w:rsid w:val="007615E5"/>
    <w:rsid w:val="00766751"/>
    <w:rsid w:val="0077135B"/>
    <w:rsid w:val="007719C3"/>
    <w:rsid w:val="0078779C"/>
    <w:rsid w:val="007A6465"/>
    <w:rsid w:val="007B48BB"/>
    <w:rsid w:val="007C1A78"/>
    <w:rsid w:val="007C684A"/>
    <w:rsid w:val="007D2FB2"/>
    <w:rsid w:val="007E374B"/>
    <w:rsid w:val="007F383F"/>
    <w:rsid w:val="00805345"/>
    <w:rsid w:val="008079AC"/>
    <w:rsid w:val="00813089"/>
    <w:rsid w:val="0081533E"/>
    <w:rsid w:val="00816CCD"/>
    <w:rsid w:val="00821E14"/>
    <w:rsid w:val="0082783E"/>
    <w:rsid w:val="00827A88"/>
    <w:rsid w:val="00831816"/>
    <w:rsid w:val="00836ADD"/>
    <w:rsid w:val="00840DA2"/>
    <w:rsid w:val="008455EE"/>
    <w:rsid w:val="0084602A"/>
    <w:rsid w:val="00856875"/>
    <w:rsid w:val="00856F05"/>
    <w:rsid w:val="00860BBA"/>
    <w:rsid w:val="008657ED"/>
    <w:rsid w:val="0088059B"/>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28C8"/>
    <w:rsid w:val="00992A65"/>
    <w:rsid w:val="009B19EE"/>
    <w:rsid w:val="009B3A6E"/>
    <w:rsid w:val="009D078B"/>
    <w:rsid w:val="009E47A0"/>
    <w:rsid w:val="009E5FA5"/>
    <w:rsid w:val="009E7806"/>
    <w:rsid w:val="009F21F7"/>
    <w:rsid w:val="00A03379"/>
    <w:rsid w:val="00A03C7B"/>
    <w:rsid w:val="00A057F8"/>
    <w:rsid w:val="00A3465B"/>
    <w:rsid w:val="00A36263"/>
    <w:rsid w:val="00A40424"/>
    <w:rsid w:val="00A47A1F"/>
    <w:rsid w:val="00A51A65"/>
    <w:rsid w:val="00A54BC1"/>
    <w:rsid w:val="00A54FC6"/>
    <w:rsid w:val="00A60988"/>
    <w:rsid w:val="00A63AE8"/>
    <w:rsid w:val="00A9067A"/>
    <w:rsid w:val="00A977C9"/>
    <w:rsid w:val="00AA62E9"/>
    <w:rsid w:val="00AC2130"/>
    <w:rsid w:val="00AC367D"/>
    <w:rsid w:val="00AC36EA"/>
    <w:rsid w:val="00AC7B14"/>
    <w:rsid w:val="00AD25C9"/>
    <w:rsid w:val="00AD61AD"/>
    <w:rsid w:val="00AE0CE4"/>
    <w:rsid w:val="00AF5535"/>
    <w:rsid w:val="00B00163"/>
    <w:rsid w:val="00B007C7"/>
    <w:rsid w:val="00B17D1A"/>
    <w:rsid w:val="00B32297"/>
    <w:rsid w:val="00B3368D"/>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55B5"/>
    <w:rsid w:val="00BC6729"/>
    <w:rsid w:val="00BE35BF"/>
    <w:rsid w:val="00BE41EC"/>
    <w:rsid w:val="00BE571D"/>
    <w:rsid w:val="00BE68B9"/>
    <w:rsid w:val="00C073E6"/>
    <w:rsid w:val="00C15CB2"/>
    <w:rsid w:val="00C3070D"/>
    <w:rsid w:val="00C34CAB"/>
    <w:rsid w:val="00C36272"/>
    <w:rsid w:val="00C44CB7"/>
    <w:rsid w:val="00C47550"/>
    <w:rsid w:val="00C54C6F"/>
    <w:rsid w:val="00C624C4"/>
    <w:rsid w:val="00C66EB5"/>
    <w:rsid w:val="00C75A9E"/>
    <w:rsid w:val="00C8195E"/>
    <w:rsid w:val="00C8375C"/>
    <w:rsid w:val="00C94B1C"/>
    <w:rsid w:val="00CA5A0C"/>
    <w:rsid w:val="00CA6BC4"/>
    <w:rsid w:val="00CC2DC4"/>
    <w:rsid w:val="00CD0AD6"/>
    <w:rsid w:val="00CD1AEC"/>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C7112"/>
    <w:rsid w:val="00DE0BF4"/>
    <w:rsid w:val="00DF7762"/>
    <w:rsid w:val="00E02B6C"/>
    <w:rsid w:val="00E2290F"/>
    <w:rsid w:val="00E252E3"/>
    <w:rsid w:val="00E32A2C"/>
    <w:rsid w:val="00E36817"/>
    <w:rsid w:val="00E50C6F"/>
    <w:rsid w:val="00E53F65"/>
    <w:rsid w:val="00E63E7F"/>
    <w:rsid w:val="00E7743E"/>
    <w:rsid w:val="00E808F4"/>
    <w:rsid w:val="00E80B61"/>
    <w:rsid w:val="00E85401"/>
    <w:rsid w:val="00EA63BF"/>
    <w:rsid w:val="00EB21EC"/>
    <w:rsid w:val="00EB3FED"/>
    <w:rsid w:val="00EB44E1"/>
    <w:rsid w:val="00EC2D03"/>
    <w:rsid w:val="00ED3945"/>
    <w:rsid w:val="00EE0C28"/>
    <w:rsid w:val="00EE149D"/>
    <w:rsid w:val="00EE1847"/>
    <w:rsid w:val="00EE1DD3"/>
    <w:rsid w:val="00EE3816"/>
    <w:rsid w:val="00EF19F2"/>
    <w:rsid w:val="00EF48AD"/>
    <w:rsid w:val="00EF62D0"/>
    <w:rsid w:val="00EF79FF"/>
    <w:rsid w:val="00F02374"/>
    <w:rsid w:val="00F070B2"/>
    <w:rsid w:val="00F20618"/>
    <w:rsid w:val="00F42AA3"/>
    <w:rsid w:val="00F46C55"/>
    <w:rsid w:val="00F54111"/>
    <w:rsid w:val="00F60A00"/>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link w:val="Standard"/>
    <w:locked/>
    <w:rsid w:val="00EE1847"/>
  </w:style>
  <w:style w:type="paragraph" w:customStyle="1" w:styleId="Standard">
    <w:name w:val="Standard"/>
    <w:link w:val="StandardCar"/>
    <w:rsid w:val="00EE1847"/>
    <w:pPr>
      <w:widowControl w:val="0"/>
      <w:suppressAutoHyphens/>
      <w:autoSpaceDN w:val="0"/>
      <w:spacing w:after="0" w:line="240" w:lineRule="auto"/>
    </w:pPr>
  </w:style>
  <w:style w:type="table" w:customStyle="1" w:styleId="Tablaconcuadrcula6111">
    <w:name w:val="Tabla con cuadrícula6111"/>
    <w:basedOn w:val="TableNormal"/>
    <w:uiPriority w:val="59"/>
    <w:rsid w:val="00EE184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1559</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2024-02-02T16:38:00Z</cp:lastPrinted>
  <dcterms:created xsi:type="dcterms:W3CDTF">2024-02-02T16:34:00Z</dcterms:created>
  <dcterms:modified xsi:type="dcterms:W3CDTF">2024-02-02T16:38:00Z</dcterms:modified>
</cp:coreProperties>
</file>