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455B" w14:textId="77777777" w:rsidR="00F00E2D" w:rsidRPr="00F00E2D" w:rsidRDefault="00F00E2D" w:rsidP="00F00E2D">
      <w:pPr>
        <w:spacing w:after="0" w:line="276" w:lineRule="auto"/>
        <w:jc w:val="center"/>
        <w:rPr>
          <w:rFonts w:ascii="Arial" w:eastAsia="Calibri" w:hAnsi="Arial" w:cs="Arial"/>
          <w:b/>
          <w:kern w:val="0"/>
          <w:sz w:val="20"/>
          <w:szCs w:val="20"/>
          <w14:ligatures w14:val="none"/>
        </w:rPr>
      </w:pPr>
      <w:r w:rsidRPr="00F00E2D">
        <w:rPr>
          <w:rFonts w:ascii="Arial" w:eastAsia="Calibri" w:hAnsi="Arial" w:cs="Arial"/>
          <w:b/>
          <w:kern w:val="0"/>
          <w:sz w:val="20"/>
          <w:szCs w:val="20"/>
          <w14:ligatures w14:val="none"/>
        </w:rPr>
        <w:t>JUNTA ACLARATORIA</w:t>
      </w:r>
    </w:p>
    <w:p w14:paraId="6178B1F0" w14:textId="77777777" w:rsidR="00F00E2D" w:rsidRPr="00F00E2D" w:rsidRDefault="00F00E2D" w:rsidP="00F00E2D">
      <w:pPr>
        <w:spacing w:after="0" w:line="240" w:lineRule="auto"/>
        <w:jc w:val="center"/>
        <w:rPr>
          <w:rFonts w:ascii="Arial" w:eastAsia="Calibri" w:hAnsi="Arial" w:cs="Arial"/>
          <w:b/>
          <w:kern w:val="0"/>
          <w:sz w:val="20"/>
          <w:szCs w:val="20"/>
          <w14:ligatures w14:val="none"/>
        </w:rPr>
      </w:pPr>
      <w:r w:rsidRPr="00F00E2D">
        <w:rPr>
          <w:rFonts w:ascii="Arial" w:eastAsia="Calibri" w:hAnsi="Arial" w:cs="Arial"/>
          <w:b/>
          <w:kern w:val="0"/>
          <w:sz w:val="20"/>
          <w:szCs w:val="20"/>
          <w14:ligatures w14:val="none"/>
        </w:rPr>
        <w:t>MUNICIPIO DE TLAJOMULCO DE ZÚÑIGA JALISCO</w:t>
      </w:r>
    </w:p>
    <w:p w14:paraId="6E4F2405" w14:textId="77777777" w:rsidR="00F00E2D" w:rsidRPr="00F00E2D" w:rsidRDefault="00F00E2D" w:rsidP="00F00E2D">
      <w:pPr>
        <w:spacing w:after="0" w:line="240" w:lineRule="auto"/>
        <w:jc w:val="center"/>
        <w:rPr>
          <w:rFonts w:ascii="Arial" w:eastAsia="Calibri" w:hAnsi="Arial" w:cs="Arial"/>
          <w:b/>
          <w:kern w:val="0"/>
          <w:sz w:val="20"/>
          <w:szCs w:val="20"/>
          <w:lang w:val="es-ES_tradnl"/>
          <w14:ligatures w14:val="none"/>
        </w:rPr>
      </w:pPr>
      <w:proofErr w:type="spellStart"/>
      <w:r w:rsidRPr="00F00E2D">
        <w:rPr>
          <w:rFonts w:ascii="Arial" w:eastAsia="Calibri" w:hAnsi="Arial" w:cs="Arial"/>
          <w:b/>
          <w:kern w:val="0"/>
          <w:sz w:val="20"/>
          <w:szCs w:val="20"/>
          <w:lang w:val="es-ES_tradnl"/>
          <w14:ligatures w14:val="none"/>
        </w:rPr>
        <w:t>OM</w:t>
      </w:r>
      <w:proofErr w:type="spellEnd"/>
      <w:r w:rsidRPr="00F00E2D">
        <w:rPr>
          <w:rFonts w:ascii="Arial" w:eastAsia="Calibri" w:hAnsi="Arial" w:cs="Arial"/>
          <w:b/>
          <w:kern w:val="0"/>
          <w:sz w:val="20"/>
          <w:szCs w:val="20"/>
          <w:lang w:val="es-ES_tradnl"/>
          <w14:ligatures w14:val="none"/>
        </w:rPr>
        <w:t>-51/2023</w:t>
      </w:r>
    </w:p>
    <w:p w14:paraId="6D25B9DE" w14:textId="77777777" w:rsidR="00F00E2D" w:rsidRPr="00F00E2D" w:rsidRDefault="00F00E2D" w:rsidP="00F00E2D">
      <w:pPr>
        <w:spacing w:after="0" w:line="240" w:lineRule="auto"/>
        <w:jc w:val="center"/>
        <w:rPr>
          <w:rFonts w:ascii="Arial" w:eastAsia="Calibri" w:hAnsi="Arial" w:cs="Arial"/>
          <w:b/>
          <w:kern w:val="0"/>
          <w:sz w:val="20"/>
          <w:szCs w:val="20"/>
          <w:lang w:val="es-ES_tradnl"/>
          <w14:ligatures w14:val="none"/>
        </w:rPr>
      </w:pPr>
      <w:r w:rsidRPr="00F00E2D">
        <w:rPr>
          <w:rFonts w:ascii="Arial" w:eastAsia="Calibri" w:hAnsi="Arial" w:cs="Arial"/>
          <w:b/>
          <w:kern w:val="0"/>
          <w:sz w:val="20"/>
          <w:szCs w:val="20"/>
          <w:lang w:val="es-ES_tradnl"/>
          <w14:ligatures w14:val="none"/>
        </w:rPr>
        <w:t>“ADQUISICIÓN DE SERVICIO PARA EVENTOS MUSICALES EN EL MUNICIPIO DE TLAJOMULCO DE ZÚÑIGA, JALISCO”</w:t>
      </w:r>
    </w:p>
    <w:p w14:paraId="5B5862C6" w14:textId="77777777" w:rsidR="00F00E2D" w:rsidRPr="00F00E2D" w:rsidRDefault="00F00E2D" w:rsidP="00F00E2D">
      <w:pPr>
        <w:spacing w:after="0" w:line="240" w:lineRule="auto"/>
        <w:jc w:val="center"/>
        <w:rPr>
          <w:rFonts w:ascii="Arial" w:eastAsia="Calibri" w:hAnsi="Arial" w:cs="Arial"/>
          <w:b/>
          <w:kern w:val="0"/>
          <w:sz w:val="20"/>
          <w:szCs w:val="20"/>
          <w:lang w:val="es-ES_tradnl"/>
          <w14:ligatures w14:val="none"/>
        </w:rPr>
      </w:pPr>
    </w:p>
    <w:p w14:paraId="68D219C6"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 xml:space="preserve">Siendo las </w:t>
      </w:r>
      <w:r w:rsidRPr="00F00E2D">
        <w:rPr>
          <w:rFonts w:ascii="Arial" w:eastAsia="Calibri" w:hAnsi="Arial" w:cs="Arial"/>
          <w:b/>
          <w:iCs/>
          <w:kern w:val="0"/>
          <w:sz w:val="20"/>
          <w:szCs w:val="20"/>
          <w14:ligatures w14:val="none"/>
        </w:rPr>
        <w:t xml:space="preserve">14:00 </w:t>
      </w:r>
      <w:r w:rsidRPr="00F00E2D">
        <w:rPr>
          <w:rFonts w:ascii="Arial" w:eastAsia="Calibri" w:hAnsi="Arial" w:cs="Arial"/>
          <w:iCs/>
          <w:kern w:val="0"/>
          <w:sz w:val="20"/>
          <w:szCs w:val="20"/>
          <w14:ligatures w14:val="none"/>
        </w:rPr>
        <w:t xml:space="preserve">horas del día </w:t>
      </w:r>
      <w:r w:rsidRPr="00F00E2D">
        <w:rPr>
          <w:rFonts w:ascii="Arial" w:eastAsia="Calibri" w:hAnsi="Arial" w:cs="Arial"/>
          <w:b/>
          <w:iCs/>
          <w:kern w:val="0"/>
          <w:sz w:val="20"/>
          <w:szCs w:val="20"/>
          <w14:ligatures w14:val="none"/>
        </w:rPr>
        <w:t>20 de octubre del 2023</w:t>
      </w:r>
      <w:r w:rsidRPr="00F00E2D">
        <w:rPr>
          <w:rFonts w:ascii="Arial" w:eastAsia="Calibri" w:hAnsi="Arial" w:cs="Arial"/>
          <w:iCs/>
          <w:kern w:val="0"/>
          <w:sz w:val="20"/>
          <w:szCs w:val="20"/>
          <w14:ligatures w14:val="none"/>
        </w:rPr>
        <w:t xml:space="preserve">,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w:t>
      </w:r>
      <w:r w:rsidRPr="00F00E2D">
        <w:rPr>
          <w:rFonts w:ascii="Arial" w:eastAsia="Calibri" w:hAnsi="Arial" w:cs="Arial"/>
          <w:iCs/>
          <w:kern w:val="0"/>
          <w:sz w:val="20"/>
          <w:szCs w:val="20"/>
          <w:u w:val="single"/>
          <w14:ligatures w14:val="none"/>
        </w:rPr>
        <w:t xml:space="preserve">Licitación Pública Local </w:t>
      </w:r>
      <w:r w:rsidRPr="00F00E2D">
        <w:rPr>
          <w:rFonts w:ascii="Arial" w:eastAsia="Calibri" w:hAnsi="Arial" w:cs="Arial"/>
          <w:iCs/>
          <w:kern w:val="0"/>
          <w:sz w:val="20"/>
          <w:szCs w:val="20"/>
          <w14:ligatures w14:val="none"/>
        </w:rPr>
        <w:t>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5F33A495"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5B3DD84C"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 xml:space="preserve">Las Bases de Licitación </w:t>
      </w:r>
      <w:proofErr w:type="spellStart"/>
      <w:r w:rsidRPr="00F00E2D">
        <w:rPr>
          <w:rFonts w:ascii="Arial" w:eastAsia="Calibri" w:hAnsi="Arial" w:cs="Arial"/>
          <w:b/>
          <w:iCs/>
          <w:kern w:val="0"/>
          <w:sz w:val="20"/>
          <w:szCs w:val="20"/>
          <w14:ligatures w14:val="none"/>
        </w:rPr>
        <w:t>OM</w:t>
      </w:r>
      <w:proofErr w:type="spellEnd"/>
      <w:r w:rsidRPr="00F00E2D">
        <w:rPr>
          <w:rFonts w:ascii="Arial" w:eastAsia="Calibri" w:hAnsi="Arial" w:cs="Arial"/>
          <w:b/>
          <w:iCs/>
          <w:kern w:val="0"/>
          <w:sz w:val="20"/>
          <w:szCs w:val="20"/>
          <w14:ligatures w14:val="none"/>
        </w:rPr>
        <w:t>-51/2023</w:t>
      </w:r>
      <w:r w:rsidRPr="00F00E2D">
        <w:rPr>
          <w:rFonts w:ascii="Arial" w:eastAsia="Calibri" w:hAnsi="Arial" w:cs="Arial"/>
          <w:iCs/>
          <w:kern w:val="0"/>
          <w:sz w:val="20"/>
          <w:szCs w:val="20"/>
          <w14:ligatures w14:val="none"/>
        </w:rPr>
        <w:t xml:space="preserve"> en su apartado 7. JUNTA ACLARATORIA, entre otros refiere que al participante que requiera </w:t>
      </w:r>
      <w:proofErr w:type="gramStart"/>
      <w:r w:rsidRPr="00F00E2D">
        <w:rPr>
          <w:rFonts w:ascii="Arial" w:eastAsia="Calibri" w:hAnsi="Arial" w:cs="Arial"/>
          <w:iCs/>
          <w:kern w:val="0"/>
          <w:sz w:val="20"/>
          <w:szCs w:val="20"/>
          <w14:ligatures w14:val="none"/>
        </w:rPr>
        <w:t>mayor información</w:t>
      </w:r>
      <w:proofErr w:type="gramEnd"/>
      <w:r w:rsidRPr="00F00E2D">
        <w:rPr>
          <w:rFonts w:ascii="Arial" w:eastAsia="Calibri" w:hAnsi="Arial" w:cs="Arial"/>
          <w:iCs/>
          <w:kern w:val="0"/>
          <w:sz w:val="20"/>
          <w:szCs w:val="20"/>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al correo electrónico: </w:t>
      </w:r>
      <w:hyperlink r:id="rId4" w:history="1">
        <w:r w:rsidRPr="00F00E2D">
          <w:rPr>
            <w:rFonts w:ascii="Arial" w:eastAsia="Calibri" w:hAnsi="Arial" w:cs="Arial"/>
            <w:iCs/>
            <w:color w:val="0563C1"/>
            <w:kern w:val="0"/>
            <w:sz w:val="20"/>
            <w:szCs w:val="20"/>
            <w:u w:val="single"/>
            <w14:ligatures w14:val="none"/>
          </w:rPr>
          <w:t>licitaciones@tlajomulco.gob.mx</w:t>
        </w:r>
      </w:hyperlink>
      <w:r w:rsidRPr="00F00E2D">
        <w:rPr>
          <w:rFonts w:ascii="Arial" w:eastAsia="Calibri" w:hAnsi="Arial" w:cs="Arial"/>
          <w:iCs/>
          <w:kern w:val="0"/>
          <w:sz w:val="20"/>
          <w:szCs w:val="20"/>
          <w14:ligatures w14:val="none"/>
        </w:rPr>
        <w:t xml:space="preserve"> a más tardar el</w:t>
      </w:r>
      <w:r w:rsidRPr="00F00E2D">
        <w:rPr>
          <w:rFonts w:ascii="Arial" w:eastAsia="Calibri" w:hAnsi="Arial" w:cs="Arial"/>
          <w:b/>
          <w:iCs/>
          <w:kern w:val="0"/>
          <w:sz w:val="20"/>
          <w:szCs w:val="20"/>
          <w14:ligatures w14:val="none"/>
        </w:rPr>
        <w:t xml:space="preserve"> 18 de octubre del 2023</w:t>
      </w:r>
      <w:r w:rsidRPr="00F00E2D">
        <w:rPr>
          <w:rFonts w:ascii="Arial" w:eastAsia="Calibri" w:hAnsi="Arial" w:cs="Arial"/>
          <w:iCs/>
          <w:kern w:val="0"/>
          <w:sz w:val="20"/>
          <w:szCs w:val="20"/>
          <w14:ligatures w14:val="none"/>
        </w:rPr>
        <w:t xml:space="preserve"> (12:00 HORAS).</w:t>
      </w:r>
    </w:p>
    <w:p w14:paraId="6E9FB239"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7F853402"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 xml:space="preserve">Este acto es presidido por el </w:t>
      </w:r>
      <w:bookmarkStart w:id="0" w:name="_Hlk139624366"/>
      <w:r w:rsidRPr="00F00E2D">
        <w:rPr>
          <w:rFonts w:ascii="Arial" w:eastAsia="Calibri" w:hAnsi="Arial" w:cs="Arial"/>
          <w:iCs/>
          <w:kern w:val="0"/>
          <w:sz w:val="20"/>
          <w:szCs w:val="20"/>
          <w14:ligatures w14:val="none"/>
        </w:rPr>
        <w:t xml:space="preserve">Lic. Raúl Cuevas Landeros, Director de Recursos Materiales </w:t>
      </w:r>
      <w:bookmarkEnd w:id="0"/>
      <w:r w:rsidRPr="00F00E2D">
        <w:rPr>
          <w:rFonts w:ascii="Arial" w:eastAsia="Calibri" w:hAnsi="Arial" w:cs="Arial"/>
          <w:iCs/>
          <w:kern w:val="0"/>
          <w:sz w:val="20"/>
          <w:szCs w:val="20"/>
          <w14:ligatures w14:val="none"/>
        </w:rPr>
        <w:t xml:space="preserve">designado por la convocante y por el Comité, quien da inicio a esta Junta y comunica que no obstante que fue publicada la licitación </w:t>
      </w:r>
      <w:proofErr w:type="spellStart"/>
      <w:r w:rsidRPr="00F00E2D">
        <w:rPr>
          <w:rFonts w:ascii="Arial" w:eastAsia="Calibri" w:hAnsi="Arial" w:cs="Arial"/>
          <w:b/>
          <w:iCs/>
          <w:kern w:val="0"/>
          <w:sz w:val="20"/>
          <w:szCs w:val="20"/>
          <w14:ligatures w14:val="none"/>
        </w:rPr>
        <w:t>OM</w:t>
      </w:r>
      <w:proofErr w:type="spellEnd"/>
      <w:r w:rsidRPr="00F00E2D">
        <w:rPr>
          <w:rFonts w:ascii="Arial" w:eastAsia="Calibri" w:hAnsi="Arial" w:cs="Arial"/>
          <w:b/>
          <w:iCs/>
          <w:kern w:val="0"/>
          <w:sz w:val="20"/>
          <w:szCs w:val="20"/>
          <w14:ligatures w14:val="none"/>
        </w:rPr>
        <w:t xml:space="preserve">-51/2023 “ADQUISICIÓN DE SERVICIO PARA EVENTOS MUSICALES EN EL MUNICIPIO DE TLAJOMULCO DE ZÚÑIGA, JALISCO” </w:t>
      </w:r>
      <w:r w:rsidRPr="00F00E2D">
        <w:rPr>
          <w:rFonts w:ascii="Arial" w:eastAsia="Calibri" w:hAnsi="Arial" w:cs="Arial"/>
          <w:iCs/>
          <w:kern w:val="0"/>
          <w:sz w:val="20"/>
          <w:szCs w:val="20"/>
          <w14:ligatures w14:val="none"/>
        </w:rPr>
        <w:t xml:space="preserve">el pasado </w:t>
      </w:r>
      <w:r w:rsidRPr="00F00E2D">
        <w:rPr>
          <w:rFonts w:ascii="Arial" w:eastAsia="Calibri" w:hAnsi="Arial" w:cs="Arial"/>
          <w:b/>
          <w:iCs/>
          <w:kern w:val="0"/>
          <w:sz w:val="20"/>
          <w:szCs w:val="20"/>
          <w14:ligatures w14:val="none"/>
        </w:rPr>
        <w:t>13 de octubre del 2023</w:t>
      </w:r>
      <w:r w:rsidRPr="00F00E2D">
        <w:rPr>
          <w:rFonts w:ascii="Arial" w:eastAsia="Calibri" w:hAnsi="Arial" w:cs="Arial"/>
          <w:iCs/>
          <w:kern w:val="0"/>
          <w:sz w:val="20"/>
          <w:szCs w:val="20"/>
          <w14:ligatures w14:val="none"/>
        </w:rPr>
        <w:t>, ningún licitante formuló cuestionamiento alguno referente a la Convocatoria, Bases y sus Anexos, de lo cual se deja constancia en esta JUNTA ACLARATORIA.</w:t>
      </w:r>
    </w:p>
    <w:p w14:paraId="342921F2"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29080613"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33DDD37B"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 xml:space="preserve">Lic. Raúl Cuevas Landeros </w:t>
      </w:r>
    </w:p>
    <w:p w14:paraId="6006E196"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Director de Recursos Materiales</w:t>
      </w:r>
    </w:p>
    <w:p w14:paraId="03091169"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0DED9B6D"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6F705381"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Asistieron y recibieron copia de la presente Junta Aclaratoria:</w:t>
      </w:r>
    </w:p>
    <w:p w14:paraId="43406177"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39"/>
        <w:gridCol w:w="3172"/>
        <w:gridCol w:w="2694"/>
      </w:tblGrid>
      <w:tr w:rsidR="00F00E2D" w:rsidRPr="00F00E2D" w14:paraId="39EA84F6" w14:textId="77777777" w:rsidTr="00F75A43">
        <w:tc>
          <w:tcPr>
            <w:tcW w:w="426" w:type="dxa"/>
          </w:tcPr>
          <w:p w14:paraId="17E7F7C3"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c>
          <w:tcPr>
            <w:tcW w:w="2639" w:type="dxa"/>
            <w:shd w:val="clear" w:color="auto" w:fill="auto"/>
          </w:tcPr>
          <w:p w14:paraId="3918AC09"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r w:rsidRPr="00F00E2D">
              <w:rPr>
                <w:rFonts w:ascii="Arial" w:eastAsia="Calibri" w:hAnsi="Arial" w:cs="Arial"/>
                <w:b/>
                <w:iCs/>
                <w:kern w:val="0"/>
                <w:sz w:val="20"/>
                <w:szCs w:val="20"/>
                <w14:ligatures w14:val="none"/>
              </w:rPr>
              <w:t>Licitante</w:t>
            </w:r>
          </w:p>
        </w:tc>
        <w:tc>
          <w:tcPr>
            <w:tcW w:w="3172" w:type="dxa"/>
            <w:shd w:val="clear" w:color="auto" w:fill="auto"/>
          </w:tcPr>
          <w:p w14:paraId="028CB7F4"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r w:rsidRPr="00F00E2D">
              <w:rPr>
                <w:rFonts w:ascii="Arial" w:eastAsia="Calibri" w:hAnsi="Arial" w:cs="Arial"/>
                <w:b/>
                <w:iCs/>
                <w:kern w:val="0"/>
                <w:sz w:val="20"/>
                <w:szCs w:val="20"/>
                <w14:ligatures w14:val="none"/>
              </w:rPr>
              <w:t xml:space="preserve">Nombre </w:t>
            </w:r>
          </w:p>
        </w:tc>
        <w:tc>
          <w:tcPr>
            <w:tcW w:w="2694" w:type="dxa"/>
            <w:shd w:val="clear" w:color="auto" w:fill="auto"/>
          </w:tcPr>
          <w:p w14:paraId="6B79C795"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r w:rsidRPr="00F00E2D">
              <w:rPr>
                <w:rFonts w:ascii="Arial" w:eastAsia="Calibri" w:hAnsi="Arial" w:cs="Arial"/>
                <w:b/>
                <w:iCs/>
                <w:kern w:val="0"/>
                <w:sz w:val="20"/>
                <w:szCs w:val="20"/>
                <w14:ligatures w14:val="none"/>
              </w:rPr>
              <w:t>Firma</w:t>
            </w:r>
          </w:p>
        </w:tc>
      </w:tr>
      <w:tr w:rsidR="00F00E2D" w:rsidRPr="00F00E2D" w14:paraId="7CBB1758" w14:textId="77777777" w:rsidTr="00F75A43">
        <w:tc>
          <w:tcPr>
            <w:tcW w:w="426" w:type="dxa"/>
          </w:tcPr>
          <w:p w14:paraId="74FB9613"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1</w:t>
            </w:r>
          </w:p>
        </w:tc>
        <w:tc>
          <w:tcPr>
            <w:tcW w:w="2639" w:type="dxa"/>
            <w:shd w:val="clear" w:color="auto" w:fill="auto"/>
          </w:tcPr>
          <w:p w14:paraId="72B94665"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48CE7552"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tc>
        <w:tc>
          <w:tcPr>
            <w:tcW w:w="3172" w:type="dxa"/>
            <w:shd w:val="clear" w:color="auto" w:fill="auto"/>
          </w:tcPr>
          <w:p w14:paraId="3377A288"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c>
          <w:tcPr>
            <w:tcW w:w="2694" w:type="dxa"/>
            <w:shd w:val="clear" w:color="auto" w:fill="auto"/>
          </w:tcPr>
          <w:p w14:paraId="0FA309C9"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r>
      <w:tr w:rsidR="00F00E2D" w:rsidRPr="00F00E2D" w14:paraId="50010357" w14:textId="77777777" w:rsidTr="00F75A43">
        <w:tc>
          <w:tcPr>
            <w:tcW w:w="426" w:type="dxa"/>
          </w:tcPr>
          <w:p w14:paraId="307B7512"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2</w:t>
            </w:r>
          </w:p>
        </w:tc>
        <w:tc>
          <w:tcPr>
            <w:tcW w:w="2639" w:type="dxa"/>
            <w:shd w:val="clear" w:color="auto" w:fill="auto"/>
          </w:tcPr>
          <w:p w14:paraId="0B46EED0"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3B4448AD"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tc>
        <w:tc>
          <w:tcPr>
            <w:tcW w:w="3172" w:type="dxa"/>
            <w:shd w:val="clear" w:color="auto" w:fill="auto"/>
          </w:tcPr>
          <w:p w14:paraId="45A4E7A5"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c>
          <w:tcPr>
            <w:tcW w:w="2694" w:type="dxa"/>
            <w:shd w:val="clear" w:color="auto" w:fill="auto"/>
          </w:tcPr>
          <w:p w14:paraId="625773C4"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r>
      <w:tr w:rsidR="00F00E2D" w:rsidRPr="00F00E2D" w14:paraId="3D3D001E" w14:textId="77777777" w:rsidTr="00F75A43">
        <w:tc>
          <w:tcPr>
            <w:tcW w:w="426" w:type="dxa"/>
          </w:tcPr>
          <w:p w14:paraId="51E9F1FA"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3</w:t>
            </w:r>
          </w:p>
        </w:tc>
        <w:tc>
          <w:tcPr>
            <w:tcW w:w="2639" w:type="dxa"/>
            <w:shd w:val="clear" w:color="auto" w:fill="auto"/>
          </w:tcPr>
          <w:p w14:paraId="16F4E7B4"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4C699CBC"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tc>
        <w:tc>
          <w:tcPr>
            <w:tcW w:w="3172" w:type="dxa"/>
            <w:shd w:val="clear" w:color="auto" w:fill="auto"/>
          </w:tcPr>
          <w:p w14:paraId="0AAEC8EB"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c>
          <w:tcPr>
            <w:tcW w:w="2694" w:type="dxa"/>
            <w:shd w:val="clear" w:color="auto" w:fill="auto"/>
          </w:tcPr>
          <w:p w14:paraId="6E5E9312"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r>
      <w:tr w:rsidR="00F00E2D" w:rsidRPr="00F00E2D" w14:paraId="6E1879E1" w14:textId="77777777" w:rsidTr="00F75A43">
        <w:tc>
          <w:tcPr>
            <w:tcW w:w="426" w:type="dxa"/>
          </w:tcPr>
          <w:p w14:paraId="683A4BFF"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r w:rsidRPr="00F00E2D">
              <w:rPr>
                <w:rFonts w:ascii="Arial" w:eastAsia="Calibri" w:hAnsi="Arial" w:cs="Arial"/>
                <w:iCs/>
                <w:kern w:val="0"/>
                <w:sz w:val="20"/>
                <w:szCs w:val="20"/>
                <w14:ligatures w14:val="none"/>
              </w:rPr>
              <w:t>4</w:t>
            </w:r>
          </w:p>
        </w:tc>
        <w:tc>
          <w:tcPr>
            <w:tcW w:w="2639" w:type="dxa"/>
            <w:shd w:val="clear" w:color="auto" w:fill="auto"/>
          </w:tcPr>
          <w:p w14:paraId="1F827252"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p w14:paraId="6A6870DA" w14:textId="77777777" w:rsidR="00F00E2D" w:rsidRPr="00F00E2D" w:rsidRDefault="00F00E2D" w:rsidP="00F00E2D">
            <w:pPr>
              <w:spacing w:after="0" w:line="240" w:lineRule="auto"/>
              <w:jc w:val="both"/>
              <w:rPr>
                <w:rFonts w:ascii="Arial" w:eastAsia="Calibri" w:hAnsi="Arial" w:cs="Arial"/>
                <w:iCs/>
                <w:kern w:val="0"/>
                <w:sz w:val="20"/>
                <w:szCs w:val="20"/>
                <w14:ligatures w14:val="none"/>
              </w:rPr>
            </w:pPr>
          </w:p>
        </w:tc>
        <w:tc>
          <w:tcPr>
            <w:tcW w:w="3172" w:type="dxa"/>
            <w:shd w:val="clear" w:color="auto" w:fill="auto"/>
          </w:tcPr>
          <w:p w14:paraId="43BE5CD2"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c>
          <w:tcPr>
            <w:tcW w:w="2694" w:type="dxa"/>
            <w:shd w:val="clear" w:color="auto" w:fill="auto"/>
          </w:tcPr>
          <w:p w14:paraId="78FBC744" w14:textId="77777777" w:rsidR="00F00E2D" w:rsidRPr="00F00E2D" w:rsidRDefault="00F00E2D" w:rsidP="00F00E2D">
            <w:pPr>
              <w:spacing w:after="0" w:line="240" w:lineRule="auto"/>
              <w:jc w:val="both"/>
              <w:rPr>
                <w:rFonts w:ascii="Arial" w:eastAsia="Calibri" w:hAnsi="Arial" w:cs="Arial"/>
                <w:b/>
                <w:iCs/>
                <w:kern w:val="0"/>
                <w:sz w:val="20"/>
                <w:szCs w:val="20"/>
                <w14:ligatures w14:val="none"/>
              </w:rPr>
            </w:pPr>
          </w:p>
        </w:tc>
      </w:tr>
    </w:tbl>
    <w:p w14:paraId="3C08A872" w14:textId="77777777" w:rsidR="00F00E2D" w:rsidRPr="00F00E2D" w:rsidRDefault="00F00E2D" w:rsidP="00F00E2D">
      <w:pPr>
        <w:spacing w:after="0" w:line="240" w:lineRule="auto"/>
        <w:jc w:val="both"/>
        <w:rPr>
          <w:rFonts w:ascii="Arial" w:eastAsia="Calibri" w:hAnsi="Arial" w:cs="Arial"/>
          <w:iCs/>
          <w:kern w:val="0"/>
          <w:sz w:val="20"/>
          <w:szCs w:val="20"/>
          <w:u w:val="single"/>
          <w14:ligatures w14:val="none"/>
        </w:rPr>
      </w:pPr>
    </w:p>
    <w:p w14:paraId="3332F30F" w14:textId="77777777" w:rsidR="00F00E2D" w:rsidRPr="00F00E2D" w:rsidRDefault="00F00E2D" w:rsidP="00F00E2D">
      <w:pPr>
        <w:spacing w:after="0" w:line="240" w:lineRule="auto"/>
        <w:jc w:val="both"/>
        <w:rPr>
          <w:rFonts w:ascii="Arial" w:eastAsia="Calibri" w:hAnsi="Arial" w:cs="Arial"/>
          <w:iCs/>
          <w:kern w:val="0"/>
          <w:sz w:val="20"/>
          <w:szCs w:val="20"/>
          <w:u w:val="single"/>
          <w14:ligatures w14:val="none"/>
        </w:rPr>
      </w:pPr>
      <w:r w:rsidRPr="00F00E2D">
        <w:rPr>
          <w:rFonts w:ascii="Arial" w:eastAsia="Calibri" w:hAnsi="Arial" w:cs="Arial"/>
          <w:iCs/>
          <w:kern w:val="0"/>
          <w:sz w:val="20"/>
          <w:szCs w:val="20"/>
          <w:u w:val="single"/>
          <w14:ligatures w14:val="none"/>
        </w:rPr>
        <w:t>Sin más asuntos que tratar se da por terminada la Junta Aclaratoria no habiendo más preguntas, y/o comentarios con respecto a las Bases de la Licitación de Adquisición para el Municipio de Tlajomulco de Zúñiga, Jalisco firmando en ella los que intervinieron y quisieron hacerlo.</w:t>
      </w:r>
    </w:p>
    <w:p w14:paraId="630B27CA" w14:textId="77777777" w:rsidR="0050371C" w:rsidRDefault="0050371C"/>
    <w:sectPr w:rsidR="0050371C" w:rsidSect="00016807">
      <w:foot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5187" w14:textId="77777777" w:rsidR="00000000" w:rsidRDefault="00000000">
    <w:pPr>
      <w:pStyle w:val="Footer"/>
      <w:jc w:val="right"/>
    </w:pPr>
    <w:r>
      <w:fldChar w:fldCharType="begin"/>
    </w:r>
    <w:r>
      <w:instrText>PAGE</w:instrText>
    </w:r>
    <w:r>
      <w:instrText xml:space="preserve">   \* MERGE</w:instrText>
    </w:r>
    <w:r>
      <w:instrText>FORMA</w:instrText>
    </w:r>
    <w:r>
      <w:instrText>T</w:instrText>
    </w:r>
    <w:r>
      <w:fldChar w:fldCharType="separate"/>
    </w:r>
    <w:r w:rsidRPr="005D53FB">
      <w:rPr>
        <w:noProof/>
        <w:lang w:val="es-ES"/>
      </w:rPr>
      <w:t>1</w:t>
    </w:r>
    <w:r>
      <w:fldChar w:fldCharType="end"/>
    </w:r>
  </w:p>
  <w:p w14:paraId="487B8208"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F9"/>
    <w:rsid w:val="00017AF9"/>
    <w:rsid w:val="00291C7A"/>
    <w:rsid w:val="0050371C"/>
    <w:rsid w:val="00F00E2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D9080-1FAB-4D24-B082-9492DA5C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0E2D"/>
    <w:pPr>
      <w:tabs>
        <w:tab w:val="center" w:pos="4419"/>
        <w:tab w:val="right" w:pos="8838"/>
      </w:tabs>
      <w:spacing w:after="200" w:line="276"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F00E2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licitaciones@tlajomulco.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2127</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2</cp:revision>
  <dcterms:created xsi:type="dcterms:W3CDTF">2023-10-19T18:59:00Z</dcterms:created>
  <dcterms:modified xsi:type="dcterms:W3CDTF">2023-10-19T18:59:00Z</dcterms:modified>
</cp:coreProperties>
</file>