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p>
    <w:p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rsidR="002B75DD" w:rsidRDefault="002B75DD" w:rsidP="00B351A4">
      <w:pPr>
        <w:spacing w:after="0" w:line="240" w:lineRule="auto"/>
        <w:jc w:val="center"/>
        <w:rPr>
          <w:rFonts w:ascii="Arial" w:hAnsi="Arial" w:cs="Arial"/>
          <w:sz w:val="24"/>
          <w:szCs w:val="24"/>
        </w:rPr>
      </w:pPr>
    </w:p>
    <w:p w:rsidR="00733DB1" w:rsidRPr="00733DB1" w:rsidRDefault="00733DB1" w:rsidP="00733DB1">
      <w:pPr>
        <w:spacing w:after="0" w:line="240" w:lineRule="auto"/>
        <w:jc w:val="center"/>
        <w:rPr>
          <w:rFonts w:ascii="Arial" w:hAnsi="Arial" w:cs="Arial"/>
          <w:sz w:val="24"/>
          <w:szCs w:val="24"/>
        </w:rPr>
      </w:pPr>
      <w:r w:rsidRPr="00733DB1">
        <w:rPr>
          <w:rFonts w:ascii="Arial" w:hAnsi="Arial" w:cs="Arial"/>
          <w:sz w:val="24"/>
          <w:szCs w:val="24"/>
        </w:rPr>
        <w:t>OM-02/2020</w:t>
      </w:r>
    </w:p>
    <w:p w:rsidR="00A82F60" w:rsidRPr="00A82F60" w:rsidRDefault="00733DB1" w:rsidP="00733DB1">
      <w:pPr>
        <w:spacing w:after="0" w:line="240" w:lineRule="auto"/>
        <w:jc w:val="center"/>
        <w:rPr>
          <w:rFonts w:ascii="Arial" w:hAnsi="Arial" w:cs="Arial"/>
          <w:sz w:val="24"/>
          <w:szCs w:val="24"/>
        </w:rPr>
      </w:pPr>
      <w:r w:rsidRPr="00733DB1">
        <w:rPr>
          <w:rFonts w:ascii="Arial" w:hAnsi="Arial" w:cs="Arial"/>
          <w:sz w:val="24"/>
          <w:szCs w:val="24"/>
        </w:rPr>
        <w:t>“ADQUISICIÓN DE SERVICIO DE ARRENDAMIENTO DE CAMIÓN PARA DESAZOLVE PARA EL GOBIERNO DE TLAJOMULCO DE ZÚÑIGA, JALISCO” (recortada)</w:t>
      </w:r>
      <w:r w:rsidR="002B75DD" w:rsidRPr="002B75DD">
        <w:rPr>
          <w:rFonts w:ascii="Arial" w:hAnsi="Arial" w:cs="Arial"/>
          <w:sz w:val="24"/>
          <w:szCs w:val="24"/>
        </w:rPr>
        <w:t>”</w:t>
      </w:r>
    </w:p>
    <w:p w:rsidR="00746ECD" w:rsidRDefault="00746ECD" w:rsidP="00746ECD">
      <w:pPr>
        <w:spacing w:after="0" w:line="240" w:lineRule="auto"/>
        <w:jc w:val="both"/>
        <w:rPr>
          <w:rFonts w:ascii="Arial" w:hAnsi="Arial" w:cs="Arial"/>
          <w:iCs/>
        </w:rPr>
      </w:pPr>
    </w:p>
    <w:p w:rsidR="002B75DD" w:rsidRDefault="002B75DD" w:rsidP="00746ECD">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A82F60">
        <w:rPr>
          <w:rFonts w:ascii="Arial" w:hAnsi="Arial" w:cs="Arial"/>
          <w:b/>
          <w:iCs/>
        </w:rPr>
        <w:t>12</w:t>
      </w:r>
      <w:r w:rsidR="00FE7308">
        <w:rPr>
          <w:rFonts w:ascii="Arial" w:hAnsi="Arial" w:cs="Arial"/>
          <w:b/>
          <w:iCs/>
        </w:rPr>
        <w:t>:</w:t>
      </w:r>
      <w:r w:rsidR="00733DB1">
        <w:rPr>
          <w:rFonts w:ascii="Arial" w:hAnsi="Arial" w:cs="Arial"/>
          <w:b/>
          <w:iCs/>
        </w:rPr>
        <w:t>3</w:t>
      </w:r>
      <w:r w:rsidRPr="00077F27">
        <w:rPr>
          <w:rFonts w:ascii="Arial" w:hAnsi="Arial" w:cs="Arial"/>
          <w:b/>
          <w:iCs/>
        </w:rPr>
        <w:t>0</w:t>
      </w:r>
      <w:r w:rsidRPr="00077F27">
        <w:rPr>
          <w:rFonts w:ascii="Arial" w:hAnsi="Arial" w:cs="Arial"/>
          <w:iCs/>
        </w:rPr>
        <w:t xml:space="preserve"> horas del día </w:t>
      </w:r>
      <w:r w:rsidR="00733DB1">
        <w:rPr>
          <w:rFonts w:ascii="Arial" w:hAnsi="Arial" w:cs="Arial"/>
          <w:b/>
          <w:iCs/>
        </w:rPr>
        <w:t>2</w:t>
      </w:r>
      <w:r w:rsidR="002B75DD">
        <w:rPr>
          <w:rFonts w:ascii="Arial" w:hAnsi="Arial" w:cs="Arial"/>
          <w:b/>
          <w:iCs/>
        </w:rPr>
        <w:t>0</w:t>
      </w:r>
      <w:r w:rsidRPr="00077F27">
        <w:rPr>
          <w:rFonts w:ascii="Arial" w:hAnsi="Arial" w:cs="Arial"/>
          <w:b/>
          <w:iCs/>
        </w:rPr>
        <w:t xml:space="preserve"> de </w:t>
      </w:r>
      <w:r w:rsidR="002B75DD">
        <w:rPr>
          <w:rFonts w:ascii="Arial" w:hAnsi="Arial" w:cs="Arial"/>
          <w:b/>
          <w:iCs/>
        </w:rPr>
        <w:t xml:space="preserve">enero </w:t>
      </w:r>
      <w:r w:rsidRPr="00077F27">
        <w:rPr>
          <w:rFonts w:ascii="Arial" w:hAnsi="Arial" w:cs="Arial"/>
          <w:b/>
          <w:iCs/>
        </w:rPr>
        <w:t>del año 20</w:t>
      </w:r>
      <w:r w:rsidR="002B75DD">
        <w:rPr>
          <w:rFonts w:ascii="Arial" w:hAnsi="Arial" w:cs="Arial"/>
          <w:b/>
          <w:iCs/>
        </w:rPr>
        <w:t>20</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77F27" w:rsidRPr="00077F27" w:rsidRDefault="00077F27" w:rsidP="00077F27">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w:t>
      </w:r>
      <w:r w:rsidR="00D32302">
        <w:rPr>
          <w:rFonts w:ascii="Arial" w:hAnsi="Arial" w:cs="Arial"/>
          <w:iCs/>
        </w:rPr>
        <w:t xml:space="preserve"> </w:t>
      </w:r>
      <w:r w:rsidRPr="00077F27">
        <w:rPr>
          <w:rFonts w:ascii="Arial" w:hAnsi="Arial" w:cs="Arial"/>
          <w:iCs/>
        </w:rPr>
        <w:t xml:space="preserve">ente y con lo cual se lleva la </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center"/>
        <w:rPr>
          <w:rFonts w:ascii="Arial" w:hAnsi="Arial" w:cs="Arial"/>
        </w:rPr>
      </w:pPr>
      <w:r w:rsidRPr="00077F27">
        <w:rPr>
          <w:rFonts w:ascii="Arial" w:hAnsi="Arial" w:cs="Arial"/>
        </w:rPr>
        <w:t>JUNTA ACLARATORIA</w:t>
      </w:r>
    </w:p>
    <w:p w:rsidR="00077F27" w:rsidRPr="00077F27" w:rsidRDefault="00077F27" w:rsidP="00077F27">
      <w:pPr>
        <w:spacing w:after="0" w:line="240" w:lineRule="auto"/>
        <w:jc w:val="both"/>
        <w:rPr>
          <w:rFonts w:ascii="Arial" w:hAnsi="Arial" w:cs="Arial"/>
        </w:rPr>
      </w:pPr>
      <w:r w:rsidRPr="00077F27">
        <w:rPr>
          <w:rFonts w:ascii="Arial" w:hAnsi="Arial" w:cs="Arial"/>
        </w:rPr>
        <w:t>Asisten:</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r w:rsidRPr="00077F27">
        <w:rPr>
          <w:rFonts w:ascii="Arial" w:hAnsi="Arial" w:cs="Arial"/>
          <w:iCs/>
        </w:rPr>
        <w:t>LCP. Raúl Cuevas Landeros</w:t>
      </w:r>
    </w:p>
    <w:p w:rsidR="00077F27" w:rsidRPr="00077F27" w:rsidRDefault="00077F27" w:rsidP="00077F27">
      <w:pPr>
        <w:spacing w:after="0" w:line="240" w:lineRule="auto"/>
        <w:jc w:val="both"/>
        <w:rPr>
          <w:rFonts w:ascii="Arial" w:hAnsi="Arial" w:cs="Arial"/>
        </w:rPr>
      </w:pPr>
      <w:r w:rsidRPr="00077F27">
        <w:rPr>
          <w:rFonts w:ascii="Arial" w:hAnsi="Arial" w:cs="Arial"/>
        </w:rPr>
        <w:t>Secretario Ejecutivo del Comité de</w:t>
      </w:r>
    </w:p>
    <w:p w:rsidR="00077F27" w:rsidRPr="00077F27" w:rsidRDefault="00077F27" w:rsidP="00077F27">
      <w:pPr>
        <w:spacing w:after="0" w:line="240" w:lineRule="auto"/>
        <w:jc w:val="both"/>
        <w:rPr>
          <w:rFonts w:ascii="Arial" w:hAnsi="Arial" w:cs="Arial"/>
        </w:rPr>
      </w:pPr>
      <w:r w:rsidRPr="00077F27">
        <w:rPr>
          <w:rFonts w:ascii="Arial" w:hAnsi="Arial" w:cs="Arial"/>
        </w:rPr>
        <w:t xml:space="preserve">Adquisiciones del Municipio de </w:t>
      </w:r>
    </w:p>
    <w:p w:rsidR="00077F27" w:rsidRPr="00077F27" w:rsidRDefault="00077F27" w:rsidP="00077F27">
      <w:pPr>
        <w:spacing w:after="0" w:line="240" w:lineRule="auto"/>
        <w:jc w:val="both"/>
        <w:rPr>
          <w:rFonts w:ascii="Arial" w:hAnsi="Arial" w:cs="Arial"/>
        </w:rPr>
      </w:pPr>
      <w:r w:rsidRPr="00077F27">
        <w:rPr>
          <w:rFonts w:ascii="Arial" w:hAnsi="Arial" w:cs="Arial"/>
        </w:rPr>
        <w:t>Tlajomulco de Zúñiga, Jalisco</w:t>
      </w:r>
    </w:p>
    <w:p w:rsidR="00077F27" w:rsidRPr="00077F27" w:rsidRDefault="00077F27" w:rsidP="00077F27">
      <w:pPr>
        <w:spacing w:after="0" w:line="240" w:lineRule="auto"/>
        <w:jc w:val="both"/>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261"/>
        <w:gridCol w:w="3686"/>
        <w:gridCol w:w="2976"/>
      </w:tblGrid>
      <w:tr w:rsidR="002B75DD" w:rsidRPr="00EA2249" w:rsidTr="002B75DD">
        <w:tc>
          <w:tcPr>
            <w:tcW w:w="425" w:type="dxa"/>
          </w:tcPr>
          <w:p w:rsidR="002B75DD" w:rsidRPr="00EA2249" w:rsidRDefault="002B75DD" w:rsidP="00EA2249">
            <w:pPr>
              <w:spacing w:after="0" w:line="240" w:lineRule="auto"/>
              <w:jc w:val="both"/>
              <w:rPr>
                <w:rFonts w:ascii="Arial" w:hAnsi="Arial" w:cs="Arial"/>
                <w:b/>
              </w:rPr>
            </w:pPr>
          </w:p>
        </w:tc>
        <w:tc>
          <w:tcPr>
            <w:tcW w:w="3261"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Licitante</w:t>
            </w:r>
          </w:p>
        </w:tc>
        <w:tc>
          <w:tcPr>
            <w:tcW w:w="3686"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 xml:space="preserve">Nombre </w:t>
            </w:r>
          </w:p>
        </w:tc>
        <w:tc>
          <w:tcPr>
            <w:tcW w:w="2976"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Firma</w:t>
            </w: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1</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2</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3</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4</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5</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bl>
    <w:p w:rsidR="00077F27" w:rsidRPr="00077F27" w:rsidRDefault="00077F27" w:rsidP="00077F27">
      <w:pPr>
        <w:spacing w:after="0" w:line="240" w:lineRule="auto"/>
        <w:jc w:val="both"/>
        <w:rPr>
          <w:rFonts w:ascii="Arial" w:hAnsi="Arial" w:cs="Arial"/>
        </w:rPr>
      </w:pPr>
      <w:r w:rsidRPr="00077F27">
        <w:rPr>
          <w:rFonts w:ascii="Arial" w:hAnsi="Arial" w:cs="Arial"/>
        </w:rPr>
        <w:lastRenderedPageBreak/>
        <w:t xml:space="preserve">Las Bases de Licitación </w:t>
      </w:r>
      <w:r w:rsidR="00026DD0">
        <w:rPr>
          <w:rFonts w:ascii="Arial" w:hAnsi="Arial" w:cs="Arial"/>
          <w:b/>
        </w:rPr>
        <w:t>OM-</w:t>
      </w:r>
      <w:r w:rsidR="00733DB1">
        <w:rPr>
          <w:rFonts w:ascii="Arial" w:hAnsi="Arial" w:cs="Arial"/>
          <w:b/>
        </w:rPr>
        <w:t>02</w:t>
      </w:r>
      <w:r w:rsidRPr="00077F27">
        <w:rPr>
          <w:rFonts w:ascii="Arial" w:hAnsi="Arial" w:cs="Arial"/>
          <w:b/>
        </w:rPr>
        <w:t>/20</w:t>
      </w:r>
      <w:r w:rsidR="00733DB1">
        <w:rPr>
          <w:rFonts w:ascii="Arial" w:hAnsi="Arial" w:cs="Arial"/>
          <w:b/>
        </w:rPr>
        <w:t>20</w:t>
      </w:r>
      <w:r w:rsidRPr="00077F27">
        <w:rPr>
          <w:rFonts w:ascii="Arial" w:hAnsi="Arial" w:cs="Arial"/>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077F27">
          <w:rPr>
            <w:rStyle w:val="Hipervnculo"/>
            <w:rFonts w:ascii="Arial" w:hAnsi="Arial" w:cs="Arial"/>
          </w:rPr>
          <w:t>licitaciones@tlajomulco.gob.mx</w:t>
        </w:r>
      </w:hyperlink>
      <w:r w:rsidRPr="00077F27">
        <w:rPr>
          <w:rFonts w:ascii="Arial" w:hAnsi="Arial" w:cs="Arial"/>
        </w:rPr>
        <w:t xml:space="preserve"> a más tardar </w:t>
      </w:r>
      <w:r w:rsidR="00733DB1">
        <w:rPr>
          <w:rFonts w:ascii="Arial" w:hAnsi="Arial" w:cs="Arial"/>
          <w:b/>
        </w:rPr>
        <w:t>el 19</w:t>
      </w:r>
      <w:r w:rsidRPr="00077F27">
        <w:rPr>
          <w:rFonts w:ascii="Arial" w:hAnsi="Arial" w:cs="Arial"/>
          <w:b/>
        </w:rPr>
        <w:t xml:space="preserve"> de </w:t>
      </w:r>
      <w:r w:rsidR="002B75DD">
        <w:rPr>
          <w:rFonts w:ascii="Arial" w:hAnsi="Arial" w:cs="Arial"/>
          <w:b/>
        </w:rPr>
        <w:t xml:space="preserve">enero </w:t>
      </w:r>
      <w:r w:rsidRPr="00077F27">
        <w:rPr>
          <w:rFonts w:ascii="Arial" w:hAnsi="Arial" w:cs="Arial"/>
          <w:b/>
        </w:rPr>
        <w:t>del 20</w:t>
      </w:r>
      <w:r w:rsidR="002B75DD">
        <w:rPr>
          <w:rFonts w:ascii="Arial" w:hAnsi="Arial" w:cs="Arial"/>
          <w:b/>
        </w:rPr>
        <w:t>20</w:t>
      </w:r>
      <w:r w:rsidRPr="00077F27">
        <w:rPr>
          <w:rFonts w:ascii="Arial" w:hAnsi="Arial" w:cs="Arial"/>
        </w:rPr>
        <w:t xml:space="preserve"> (15:00 HORAS).</w:t>
      </w:r>
    </w:p>
    <w:p w:rsidR="007018D4" w:rsidRDefault="007018D4" w:rsidP="00077F27">
      <w:pPr>
        <w:spacing w:after="0" w:line="240" w:lineRule="auto"/>
        <w:jc w:val="both"/>
        <w:rPr>
          <w:rFonts w:ascii="Arial" w:hAnsi="Arial" w:cs="Arial"/>
        </w:rPr>
      </w:pPr>
    </w:p>
    <w:p w:rsidR="00304E75" w:rsidRDefault="00077F27" w:rsidP="00171B41">
      <w:pPr>
        <w:spacing w:after="0" w:line="240" w:lineRule="auto"/>
        <w:jc w:val="both"/>
        <w:rPr>
          <w:rFonts w:ascii="Arial" w:hAnsi="Arial" w:cs="Arial"/>
        </w:rPr>
      </w:pPr>
      <w:r w:rsidRPr="00077F27">
        <w:rPr>
          <w:rFonts w:ascii="Arial" w:hAnsi="Arial" w:cs="Arial"/>
        </w:rPr>
        <w:t xml:space="preserve">SITUACIÓN QUE OCURRIÓ CON EL </w:t>
      </w:r>
      <w:r w:rsidR="00813B07" w:rsidRPr="00077F27">
        <w:rPr>
          <w:rFonts w:ascii="Arial" w:hAnsi="Arial" w:cs="Arial"/>
        </w:rPr>
        <w:t>(LOS) LICITANTE (S):</w:t>
      </w:r>
      <w:r w:rsidR="002B75DD">
        <w:rPr>
          <w:rFonts w:ascii="Arial" w:hAnsi="Arial" w:cs="Arial"/>
        </w:rPr>
        <w:t xml:space="preserve"> </w:t>
      </w:r>
      <w:r w:rsidR="00733DB1">
        <w:rPr>
          <w:rFonts w:ascii="Arial" w:hAnsi="Arial" w:cs="Arial"/>
        </w:rPr>
        <w:t xml:space="preserve">ASECA, S.A. DE C.V. y </w:t>
      </w:r>
      <w:r w:rsidR="00733DB1" w:rsidRPr="00733DB1">
        <w:rPr>
          <w:rFonts w:ascii="Arial" w:hAnsi="Arial" w:cs="Arial"/>
        </w:rPr>
        <w:t>ENLACE INGENIERÍA APLICADA</w:t>
      </w:r>
    </w:p>
    <w:p w:rsidR="00733DB1" w:rsidRDefault="00733DB1" w:rsidP="00171B41">
      <w:pPr>
        <w:spacing w:after="0" w:line="240" w:lineRule="auto"/>
        <w:jc w:val="both"/>
        <w:rPr>
          <w:rFonts w:ascii="Arial" w:hAnsi="Arial" w:cs="Arial"/>
        </w:rPr>
      </w:pPr>
    </w:p>
    <w:p w:rsidR="002B75DD" w:rsidRDefault="00583E9A" w:rsidP="002B75DD">
      <w:pPr>
        <w:spacing w:after="0" w:line="240" w:lineRule="auto"/>
        <w:jc w:val="both"/>
        <w:rPr>
          <w:rFonts w:ascii="Arial" w:hAnsi="Arial" w:cs="Arial"/>
          <w:b/>
          <w:u w:val="single"/>
        </w:rPr>
      </w:pPr>
      <w:r w:rsidRPr="00583E9A">
        <w:rPr>
          <w:rFonts w:ascii="Arial" w:hAnsi="Arial" w:cs="Arial"/>
          <w:b/>
          <w:u w:val="single"/>
        </w:rPr>
        <w:t>Preguntas de</w:t>
      </w:r>
      <w:r w:rsidRPr="00583E9A">
        <w:rPr>
          <w:u w:val="single"/>
        </w:rPr>
        <w:t xml:space="preserve"> </w:t>
      </w:r>
      <w:r w:rsidR="00733DB1" w:rsidRPr="00733DB1">
        <w:rPr>
          <w:rFonts w:ascii="Arial" w:hAnsi="Arial" w:cs="Arial"/>
          <w:b/>
          <w:u w:val="single"/>
        </w:rPr>
        <w:t>ASECA, S.A. DE C.V.</w:t>
      </w:r>
      <w:r w:rsidR="002B75DD" w:rsidRPr="002B75DD">
        <w:rPr>
          <w:rFonts w:ascii="Arial" w:hAnsi="Arial" w:cs="Arial"/>
          <w:b/>
          <w:u w:val="single"/>
        </w:rPr>
        <w:t>.</w:t>
      </w:r>
    </w:p>
    <w:p w:rsidR="002B75DD" w:rsidRDefault="002B75DD" w:rsidP="002B75DD">
      <w:pPr>
        <w:spacing w:after="0" w:line="240" w:lineRule="auto"/>
        <w:jc w:val="both"/>
        <w:rPr>
          <w:rFonts w:ascii="Arial" w:hAnsi="Arial" w:cs="Arial"/>
          <w:b/>
          <w:u w:val="single"/>
        </w:rPr>
      </w:pPr>
    </w:p>
    <w:p w:rsidR="00733DB1" w:rsidRPr="00733DB1" w:rsidRDefault="00733DB1" w:rsidP="00733DB1">
      <w:pPr>
        <w:spacing w:after="0" w:line="240" w:lineRule="auto"/>
        <w:jc w:val="both"/>
        <w:rPr>
          <w:rFonts w:ascii="Arial" w:hAnsi="Arial" w:cs="Arial"/>
        </w:rPr>
      </w:pPr>
      <w:r>
        <w:rPr>
          <w:rFonts w:ascii="Arial" w:hAnsi="Arial" w:cs="Arial"/>
        </w:rPr>
        <w:t xml:space="preserve">1.- </w:t>
      </w:r>
      <w:r w:rsidRPr="00733DB1">
        <w:rPr>
          <w:rFonts w:ascii="Arial" w:hAnsi="Arial" w:cs="Arial"/>
        </w:rPr>
        <w:t>De la Pagina no. 17 anexo 1, menciona al final de los últimos dos reglones que debe tener una operación el equipo por 100 jornadas de 8 hora diarias, y el numeral no. 1 de este mismo anexo se menciona que se debe de garantizar el servicio 7 días de la semana y 24 horas diarias.  Aclarando que las jornadas de trabajo de 8 horas incluye tiempo de traslado activo, carga de Diesel y la Tara del Mismo. Favor de aclarar este punto.</w:t>
      </w:r>
    </w:p>
    <w:p w:rsidR="00733DB1" w:rsidRDefault="00733DB1" w:rsidP="00733DB1">
      <w:pPr>
        <w:spacing w:after="0" w:line="240" w:lineRule="auto"/>
        <w:jc w:val="both"/>
        <w:rPr>
          <w:rFonts w:ascii="Arial" w:hAnsi="Arial" w:cs="Arial"/>
        </w:rPr>
      </w:pPr>
      <w:r w:rsidRPr="00053654">
        <w:rPr>
          <w:rFonts w:ascii="Arial" w:hAnsi="Arial" w:cs="Arial"/>
          <w:b/>
        </w:rPr>
        <w:t>Respuesta:</w:t>
      </w:r>
      <w:r>
        <w:rPr>
          <w:rFonts w:ascii="Arial" w:hAnsi="Arial" w:cs="Arial"/>
          <w:b/>
        </w:rPr>
        <w:t xml:space="preserve"> </w:t>
      </w:r>
      <w:r w:rsidRPr="00231AA6">
        <w:rPr>
          <w:rFonts w:ascii="Arial" w:hAnsi="Arial" w:cs="Arial"/>
        </w:rPr>
        <w:t xml:space="preserve">Dentro de los 7 días de la semana, el proveedor adjudicado deberá de estar disponible las 24 horas del día para dar servicio </w:t>
      </w:r>
      <w:r w:rsidR="00231AA6" w:rsidRPr="00231AA6">
        <w:rPr>
          <w:rFonts w:ascii="Arial" w:hAnsi="Arial" w:cs="Arial"/>
        </w:rPr>
        <w:t xml:space="preserve">durante una jornada de 8 horas del día, </w:t>
      </w:r>
      <w:r w:rsidR="00231AA6">
        <w:rPr>
          <w:rFonts w:ascii="Arial" w:hAnsi="Arial" w:cs="Arial"/>
        </w:rPr>
        <w:t>la jornada de trabajo no incluye carga de diesel y la tara del mismo, el camión deberá de estar completamente listo.</w:t>
      </w:r>
    </w:p>
    <w:p w:rsidR="00733DB1" w:rsidRDefault="00733DB1" w:rsidP="00733DB1">
      <w:pPr>
        <w:spacing w:after="0" w:line="240" w:lineRule="auto"/>
        <w:jc w:val="both"/>
        <w:rPr>
          <w:rFonts w:ascii="Arial" w:hAnsi="Arial" w:cs="Arial"/>
        </w:rPr>
      </w:pPr>
    </w:p>
    <w:p w:rsidR="00733DB1" w:rsidRPr="00E93B63" w:rsidRDefault="00733DB1" w:rsidP="00733DB1">
      <w:pPr>
        <w:spacing w:after="0" w:line="240" w:lineRule="auto"/>
        <w:jc w:val="both"/>
        <w:rPr>
          <w:rFonts w:ascii="Arial" w:hAnsi="Arial" w:cs="Arial"/>
        </w:rPr>
      </w:pPr>
      <w:r w:rsidRPr="00E93B63">
        <w:rPr>
          <w:rFonts w:ascii="Arial" w:hAnsi="Arial" w:cs="Arial"/>
        </w:rPr>
        <w:t>2.- En el numeral No. 5 menciona que deberá de reportar diariamente cada uno de los camiones la cantidad de litros de material traslado a los sitios autorizados por la dirección, para determinar la cantidad de litros o material ¿ustedes tendrán disponible la báscula para este peso? favor de confirmar.</w:t>
      </w:r>
    </w:p>
    <w:p w:rsidR="00733DB1" w:rsidRPr="00E93B63" w:rsidRDefault="00733DB1" w:rsidP="00733DB1">
      <w:pPr>
        <w:spacing w:after="0" w:line="240" w:lineRule="auto"/>
        <w:jc w:val="both"/>
        <w:rPr>
          <w:rFonts w:ascii="Arial" w:hAnsi="Arial" w:cs="Arial"/>
        </w:rPr>
      </w:pPr>
      <w:r w:rsidRPr="00E93B63">
        <w:rPr>
          <w:rFonts w:ascii="Arial" w:hAnsi="Arial" w:cs="Arial"/>
          <w:b/>
        </w:rPr>
        <w:t>Respuesta:</w:t>
      </w:r>
      <w:r w:rsidR="00E93B63" w:rsidRPr="00E93B63">
        <w:rPr>
          <w:rFonts w:ascii="Arial" w:hAnsi="Arial" w:cs="Arial"/>
          <w:b/>
        </w:rPr>
        <w:t xml:space="preserve"> </w:t>
      </w:r>
      <w:r w:rsidR="00E93B63" w:rsidRPr="00E93B63">
        <w:rPr>
          <w:rFonts w:ascii="Arial" w:hAnsi="Arial" w:cs="Arial"/>
        </w:rPr>
        <w:t>Únicamente se reportara mediante bitácora los recorridos  y trabajos realizados.</w:t>
      </w:r>
    </w:p>
    <w:p w:rsidR="00733DB1" w:rsidRDefault="00733DB1" w:rsidP="00733DB1">
      <w:pPr>
        <w:spacing w:after="0" w:line="240" w:lineRule="auto"/>
        <w:jc w:val="both"/>
        <w:rPr>
          <w:rFonts w:ascii="Arial" w:hAnsi="Arial" w:cs="Arial"/>
        </w:rPr>
      </w:pPr>
    </w:p>
    <w:p w:rsidR="00733DB1" w:rsidRPr="00733DB1" w:rsidRDefault="00733DB1" w:rsidP="00733DB1">
      <w:pPr>
        <w:spacing w:after="0" w:line="240" w:lineRule="auto"/>
        <w:jc w:val="both"/>
        <w:rPr>
          <w:rFonts w:ascii="Arial" w:hAnsi="Arial" w:cs="Arial"/>
        </w:rPr>
      </w:pPr>
      <w:r>
        <w:rPr>
          <w:rFonts w:ascii="Arial" w:hAnsi="Arial" w:cs="Arial"/>
        </w:rPr>
        <w:t xml:space="preserve">3.- </w:t>
      </w:r>
      <w:r w:rsidRPr="00733DB1">
        <w:rPr>
          <w:rFonts w:ascii="Arial" w:hAnsi="Arial" w:cs="Arial"/>
        </w:rPr>
        <w:t xml:space="preserve">Solicitamos para cumplir con las jornadas de trabajo de 8 horas se nos facilite el libre acceso al área de trabajo, suministro de agua para sondeo, lugar para disponer de lodos, lugar de resguardo de unidades, e indicar el nombre del supervisor que será asignado para este control. </w:t>
      </w:r>
    </w:p>
    <w:p w:rsidR="00733DB1" w:rsidRDefault="00733DB1" w:rsidP="00733DB1">
      <w:pPr>
        <w:spacing w:after="0" w:line="240" w:lineRule="auto"/>
        <w:jc w:val="both"/>
        <w:rPr>
          <w:rFonts w:ascii="Arial" w:hAnsi="Arial" w:cs="Arial"/>
          <w:b/>
        </w:rPr>
      </w:pPr>
      <w:r w:rsidRPr="00053654">
        <w:rPr>
          <w:rFonts w:ascii="Arial" w:hAnsi="Arial" w:cs="Arial"/>
          <w:b/>
        </w:rPr>
        <w:t>Respuesta:</w:t>
      </w:r>
      <w:r w:rsidR="00231AA6">
        <w:rPr>
          <w:rFonts w:ascii="Arial" w:hAnsi="Arial" w:cs="Arial"/>
          <w:b/>
        </w:rPr>
        <w:t xml:space="preserve"> </w:t>
      </w:r>
      <w:r w:rsidR="00231AA6" w:rsidRPr="00231AA6">
        <w:rPr>
          <w:rFonts w:ascii="Arial" w:hAnsi="Arial" w:cs="Arial"/>
        </w:rPr>
        <w:t>Se acepta, el nombre del supervisor asignado se le proporcionara al licitante adjudicado</w:t>
      </w:r>
      <w:r w:rsidR="00231AA6">
        <w:rPr>
          <w:rFonts w:ascii="Arial" w:hAnsi="Arial" w:cs="Arial"/>
          <w:b/>
        </w:rPr>
        <w:t>.</w:t>
      </w:r>
    </w:p>
    <w:p w:rsidR="00733DB1" w:rsidRDefault="00733DB1" w:rsidP="00733DB1">
      <w:pPr>
        <w:spacing w:after="0" w:line="240" w:lineRule="auto"/>
        <w:jc w:val="both"/>
        <w:rPr>
          <w:rFonts w:ascii="Arial" w:hAnsi="Arial" w:cs="Arial"/>
        </w:rPr>
      </w:pPr>
    </w:p>
    <w:p w:rsidR="00733DB1" w:rsidRPr="00733DB1" w:rsidRDefault="00733DB1" w:rsidP="00733DB1">
      <w:pPr>
        <w:spacing w:after="0" w:line="240" w:lineRule="auto"/>
        <w:jc w:val="both"/>
        <w:rPr>
          <w:rFonts w:ascii="Arial" w:hAnsi="Arial" w:cs="Arial"/>
        </w:rPr>
      </w:pPr>
      <w:r w:rsidRPr="00733DB1">
        <w:rPr>
          <w:rFonts w:ascii="Arial" w:hAnsi="Arial" w:cs="Arial"/>
        </w:rPr>
        <w:t>4</w:t>
      </w:r>
      <w:r>
        <w:rPr>
          <w:rFonts w:ascii="Arial" w:hAnsi="Arial" w:cs="Arial"/>
        </w:rPr>
        <w:t xml:space="preserve">.- </w:t>
      </w:r>
      <w:r w:rsidRPr="00733DB1">
        <w:rPr>
          <w:rFonts w:ascii="Arial" w:hAnsi="Arial" w:cs="Arial"/>
        </w:rPr>
        <w:t>Solicitamos nos pueda confirmar si las propuestas técnica y económica se tendrían que presentar un día antes de la fecha de apertura en el lugar que ustedes indican favor de aclarar.</w:t>
      </w:r>
    </w:p>
    <w:p w:rsidR="002B75DD" w:rsidRPr="00231AA6" w:rsidRDefault="00733DB1" w:rsidP="002B75DD">
      <w:pPr>
        <w:spacing w:after="0" w:line="240" w:lineRule="auto"/>
        <w:jc w:val="both"/>
        <w:rPr>
          <w:rFonts w:ascii="Arial" w:hAnsi="Arial" w:cs="Arial"/>
        </w:rPr>
      </w:pPr>
      <w:r w:rsidRPr="00053654">
        <w:rPr>
          <w:rFonts w:ascii="Arial" w:hAnsi="Arial" w:cs="Arial"/>
          <w:b/>
        </w:rPr>
        <w:t>Respuesta:</w:t>
      </w:r>
      <w:r w:rsidR="00231AA6">
        <w:rPr>
          <w:rFonts w:ascii="Arial" w:hAnsi="Arial" w:cs="Arial"/>
          <w:b/>
        </w:rPr>
        <w:t xml:space="preserve"> </w:t>
      </w:r>
      <w:r w:rsidR="00231AA6" w:rsidRPr="00231AA6">
        <w:rPr>
          <w:rFonts w:ascii="Arial" w:hAnsi="Arial" w:cs="Arial"/>
        </w:rPr>
        <w:t xml:space="preserve">No es correcta su apreciación, en bases se define: La recepción de propuestas deberán ser presentadas en la fecha descrita en la parte inicial de las presentes bases </w:t>
      </w:r>
      <w:r w:rsidR="00231AA6" w:rsidRPr="00231AA6">
        <w:rPr>
          <w:rFonts w:ascii="Arial" w:hAnsi="Arial" w:cs="Arial"/>
          <w:b/>
        </w:rPr>
        <w:t xml:space="preserve">antes de la hora indicada </w:t>
      </w:r>
      <w:r w:rsidR="00231AA6" w:rsidRPr="00231AA6">
        <w:rPr>
          <w:rFonts w:ascii="Arial" w:hAnsi="Arial" w:cs="Arial"/>
        </w:rPr>
        <w:t>en el cronograma de estas bases</w:t>
      </w:r>
      <w:r w:rsidR="009104D9">
        <w:rPr>
          <w:rFonts w:ascii="Arial" w:hAnsi="Arial" w:cs="Arial"/>
        </w:rPr>
        <w:t xml:space="preserve"> para la apertura de propuestas</w:t>
      </w:r>
      <w:r w:rsidR="00231AA6" w:rsidRPr="00231AA6">
        <w:rPr>
          <w:rFonts w:ascii="Arial" w:hAnsi="Arial" w:cs="Arial"/>
        </w:rPr>
        <w:t>.</w:t>
      </w:r>
    </w:p>
    <w:p w:rsidR="00733DB1" w:rsidRDefault="00733DB1" w:rsidP="002B75DD">
      <w:pPr>
        <w:spacing w:after="0" w:line="240" w:lineRule="auto"/>
        <w:jc w:val="both"/>
        <w:rPr>
          <w:rFonts w:ascii="Arial" w:hAnsi="Arial" w:cs="Arial"/>
        </w:rPr>
      </w:pPr>
    </w:p>
    <w:p w:rsidR="006E4380" w:rsidRPr="00EC4667" w:rsidRDefault="006E4380" w:rsidP="006E4380">
      <w:pPr>
        <w:spacing w:after="0"/>
        <w:jc w:val="both"/>
        <w:rPr>
          <w:rFonts w:ascii="Arial" w:hAnsi="Arial" w:cs="Arial"/>
          <w:b/>
          <w:u w:val="single"/>
        </w:rPr>
      </w:pPr>
      <w:r>
        <w:rPr>
          <w:rFonts w:ascii="Arial" w:hAnsi="Arial" w:cs="Arial"/>
          <w:b/>
          <w:u w:val="single"/>
        </w:rPr>
        <w:t xml:space="preserve">Preguntas de </w:t>
      </w:r>
      <w:r w:rsidR="00733DB1">
        <w:rPr>
          <w:rFonts w:ascii="Arial" w:hAnsi="Arial" w:cs="Arial"/>
          <w:b/>
          <w:u w:val="single"/>
        </w:rPr>
        <w:t>Enlace Ingeniería A</w:t>
      </w:r>
      <w:r w:rsidR="00733DB1" w:rsidRPr="00733DB1">
        <w:rPr>
          <w:rFonts w:ascii="Arial" w:hAnsi="Arial" w:cs="Arial"/>
          <w:b/>
          <w:u w:val="single"/>
        </w:rPr>
        <w:t>plicada</w:t>
      </w:r>
    </w:p>
    <w:p w:rsidR="006E4380" w:rsidRDefault="006E4380" w:rsidP="006E4380">
      <w:pPr>
        <w:spacing w:after="0" w:line="240" w:lineRule="auto"/>
        <w:jc w:val="both"/>
        <w:rPr>
          <w:rFonts w:ascii="Arial" w:hAnsi="Arial" w:cs="Arial"/>
        </w:rPr>
      </w:pPr>
    </w:p>
    <w:p w:rsidR="00733DB1" w:rsidRPr="00733DB1" w:rsidRDefault="00733DB1" w:rsidP="00733DB1">
      <w:pPr>
        <w:spacing w:after="0" w:line="240" w:lineRule="auto"/>
        <w:jc w:val="both"/>
        <w:rPr>
          <w:rFonts w:ascii="Arial" w:hAnsi="Arial" w:cs="Arial"/>
        </w:rPr>
      </w:pPr>
      <w:r w:rsidRPr="00733DB1">
        <w:rPr>
          <w:rFonts w:ascii="Arial" w:hAnsi="Arial" w:cs="Arial"/>
        </w:rPr>
        <w:t>1.- En el anexo 2 COTIZACIÓN indica “Deberá se señalar la garantía de cada uno de los productos y/o servicios.</w:t>
      </w:r>
    </w:p>
    <w:p w:rsidR="00733DB1" w:rsidRPr="00733DB1" w:rsidRDefault="00733DB1" w:rsidP="00733DB1">
      <w:pPr>
        <w:spacing w:after="0" w:line="240" w:lineRule="auto"/>
        <w:jc w:val="both"/>
        <w:rPr>
          <w:rFonts w:ascii="Arial" w:hAnsi="Arial" w:cs="Arial"/>
        </w:rPr>
      </w:pPr>
      <w:r w:rsidRPr="00733DB1">
        <w:rPr>
          <w:rFonts w:ascii="Arial" w:hAnsi="Arial" w:cs="Arial"/>
        </w:rPr>
        <w:t>La pregunta es: ¿Cómo</w:t>
      </w:r>
      <w:r>
        <w:rPr>
          <w:rFonts w:ascii="Arial" w:hAnsi="Arial" w:cs="Arial"/>
        </w:rPr>
        <w:t xml:space="preserve"> es que se </w:t>
      </w:r>
      <w:r w:rsidRPr="00733DB1">
        <w:rPr>
          <w:rFonts w:ascii="Arial" w:hAnsi="Arial" w:cs="Arial"/>
        </w:rPr>
        <w:t>debe de presentar la garantía? Se debe de incluir en el paquete o se incluye cuando se asigna el contrato?</w:t>
      </w:r>
    </w:p>
    <w:p w:rsidR="00733DB1" w:rsidRDefault="00733DB1" w:rsidP="00733DB1">
      <w:pPr>
        <w:spacing w:after="0" w:line="240" w:lineRule="auto"/>
        <w:jc w:val="both"/>
        <w:rPr>
          <w:rFonts w:ascii="Arial" w:hAnsi="Arial" w:cs="Arial"/>
        </w:rPr>
      </w:pPr>
      <w:r w:rsidRPr="00053654">
        <w:rPr>
          <w:rFonts w:ascii="Arial" w:hAnsi="Arial" w:cs="Arial"/>
          <w:b/>
        </w:rPr>
        <w:lastRenderedPageBreak/>
        <w:t>Respuesta:</w:t>
      </w:r>
      <w:r>
        <w:rPr>
          <w:rFonts w:ascii="Arial" w:hAnsi="Arial" w:cs="Arial"/>
          <w:b/>
        </w:rPr>
        <w:t xml:space="preserve"> </w:t>
      </w:r>
      <w:r w:rsidR="00E93B63" w:rsidRPr="00E93B63">
        <w:rPr>
          <w:rFonts w:ascii="Arial" w:hAnsi="Arial" w:cs="Arial"/>
        </w:rPr>
        <w:t>La garantía la deberá de presentar el licitante adjudicado</w:t>
      </w:r>
      <w:r w:rsidR="00E93B63">
        <w:rPr>
          <w:rFonts w:ascii="Arial" w:hAnsi="Arial" w:cs="Arial"/>
          <w:b/>
        </w:rPr>
        <w:t>.</w:t>
      </w:r>
    </w:p>
    <w:p w:rsidR="00733DB1" w:rsidRPr="00733DB1" w:rsidRDefault="00733DB1" w:rsidP="00733DB1">
      <w:pPr>
        <w:spacing w:after="0" w:line="240" w:lineRule="auto"/>
        <w:jc w:val="both"/>
        <w:rPr>
          <w:rFonts w:ascii="Arial" w:hAnsi="Arial" w:cs="Arial"/>
        </w:rPr>
      </w:pPr>
    </w:p>
    <w:p w:rsidR="00733DB1" w:rsidRPr="00733DB1" w:rsidRDefault="00733DB1" w:rsidP="00733DB1">
      <w:pPr>
        <w:spacing w:after="0" w:line="240" w:lineRule="auto"/>
        <w:jc w:val="both"/>
        <w:rPr>
          <w:rFonts w:ascii="Arial" w:hAnsi="Arial" w:cs="Arial"/>
        </w:rPr>
      </w:pPr>
      <w:r w:rsidRPr="00733DB1">
        <w:rPr>
          <w:rFonts w:ascii="Arial" w:hAnsi="Arial" w:cs="Arial"/>
        </w:rPr>
        <w:t>2.- En el punto 9 RECEPCIÓN DE PROPUESTAS indica “Un día hábil previo al acto de presentación y apertura de proposiciones en el horario comprendido de las 9:30 a 10:30 los licitantes podrán comparecer en las instalaciones de la “UNIDAD CENTRALIZADAS DE COMPRAS”</w:t>
      </w:r>
    </w:p>
    <w:p w:rsidR="00733DB1" w:rsidRPr="00733DB1" w:rsidRDefault="00733DB1" w:rsidP="00733DB1">
      <w:pPr>
        <w:spacing w:after="0" w:line="240" w:lineRule="auto"/>
        <w:jc w:val="both"/>
        <w:rPr>
          <w:rFonts w:ascii="Arial" w:hAnsi="Arial" w:cs="Arial"/>
        </w:rPr>
      </w:pPr>
      <w:r w:rsidRPr="00733DB1">
        <w:rPr>
          <w:rFonts w:ascii="Arial" w:hAnsi="Arial" w:cs="Arial"/>
        </w:rPr>
        <w:t>La pregunta es: ¿Es posible llevar los documentos a revisión antes de presentarlos en la apertura de la licitación?</w:t>
      </w:r>
    </w:p>
    <w:p w:rsidR="00733DB1" w:rsidRPr="00E93B63" w:rsidRDefault="00733DB1" w:rsidP="00733DB1">
      <w:pPr>
        <w:spacing w:after="0" w:line="240" w:lineRule="auto"/>
        <w:jc w:val="both"/>
        <w:rPr>
          <w:rFonts w:ascii="Arial" w:hAnsi="Arial" w:cs="Arial"/>
        </w:rPr>
      </w:pPr>
      <w:r w:rsidRPr="00053654">
        <w:rPr>
          <w:rFonts w:ascii="Arial" w:hAnsi="Arial" w:cs="Arial"/>
          <w:b/>
        </w:rPr>
        <w:t>Respuesta:</w:t>
      </w:r>
      <w:r>
        <w:rPr>
          <w:rFonts w:ascii="Arial" w:hAnsi="Arial" w:cs="Arial"/>
          <w:b/>
        </w:rPr>
        <w:t xml:space="preserve"> </w:t>
      </w:r>
      <w:r w:rsidR="00E93B63" w:rsidRPr="00E93B63">
        <w:rPr>
          <w:rFonts w:ascii="Arial" w:hAnsi="Arial" w:cs="Arial"/>
        </w:rPr>
        <w:t>Es correcta su apreciación se revisaran cuantitativamente los documentos a presentar a excepción de su anexo 2.</w:t>
      </w:r>
    </w:p>
    <w:p w:rsidR="00733DB1" w:rsidRPr="00733DB1" w:rsidRDefault="00733DB1" w:rsidP="00733DB1">
      <w:pPr>
        <w:spacing w:after="0" w:line="240" w:lineRule="auto"/>
        <w:jc w:val="both"/>
        <w:rPr>
          <w:rFonts w:ascii="Arial" w:hAnsi="Arial" w:cs="Arial"/>
        </w:rPr>
      </w:pPr>
    </w:p>
    <w:p w:rsidR="00733DB1" w:rsidRPr="00733DB1" w:rsidRDefault="00733DB1" w:rsidP="00733DB1">
      <w:pPr>
        <w:spacing w:after="0" w:line="240" w:lineRule="auto"/>
        <w:jc w:val="both"/>
        <w:rPr>
          <w:rFonts w:ascii="Arial" w:hAnsi="Arial" w:cs="Arial"/>
        </w:rPr>
      </w:pPr>
      <w:r w:rsidRPr="00733DB1">
        <w:rPr>
          <w:rFonts w:ascii="Arial" w:hAnsi="Arial" w:cs="Arial"/>
        </w:rPr>
        <w:t>3.- Punto 14 DESCALIFICACIÓN DE LOS LICITANTES Inciso b) Indica “Aquellos que presente proposiciones en una misma partida de un bien o servicio en un procedimiento de contratación, que se encuentren vinculadas entre si por algún socio o asociado común, excepto cuando se acredite en la investigación de mercado que permitiendo propuestas conjuntas se incrementará el número de concursantes en la licitación.</w:t>
      </w:r>
    </w:p>
    <w:p w:rsidR="00733DB1" w:rsidRPr="00733DB1" w:rsidRDefault="00733DB1" w:rsidP="00733DB1">
      <w:pPr>
        <w:spacing w:after="0" w:line="240" w:lineRule="auto"/>
        <w:jc w:val="both"/>
        <w:rPr>
          <w:rFonts w:ascii="Arial" w:hAnsi="Arial" w:cs="Arial"/>
        </w:rPr>
      </w:pPr>
      <w:r w:rsidRPr="00733DB1">
        <w:rPr>
          <w:rFonts w:ascii="Arial" w:hAnsi="Arial" w:cs="Arial"/>
        </w:rPr>
        <w:t>La pregunta es: ¿Tener la unidad asegurada con un proveedor diferente al licitante que está presentando la propuesta es motivo de descalificación?</w:t>
      </w:r>
    </w:p>
    <w:p w:rsidR="00733DB1" w:rsidRPr="00733DB1" w:rsidRDefault="00733DB1" w:rsidP="00733DB1">
      <w:pPr>
        <w:spacing w:after="0" w:line="240" w:lineRule="auto"/>
        <w:jc w:val="both"/>
        <w:rPr>
          <w:rFonts w:ascii="Arial" w:hAnsi="Arial" w:cs="Arial"/>
        </w:rPr>
      </w:pPr>
      <w:r w:rsidRPr="00053654">
        <w:rPr>
          <w:rFonts w:ascii="Arial" w:hAnsi="Arial" w:cs="Arial"/>
          <w:b/>
        </w:rPr>
        <w:t>Respuesta:</w:t>
      </w:r>
      <w:r w:rsidR="00E93B63">
        <w:rPr>
          <w:rFonts w:ascii="Arial" w:hAnsi="Arial" w:cs="Arial"/>
          <w:b/>
        </w:rPr>
        <w:t xml:space="preserve"> </w:t>
      </w:r>
      <w:r w:rsidR="00E93B63" w:rsidRPr="00E93B63">
        <w:rPr>
          <w:rFonts w:ascii="Arial" w:hAnsi="Arial" w:cs="Arial"/>
        </w:rPr>
        <w:t>No es motivo de descalificación.</w:t>
      </w:r>
    </w:p>
    <w:p w:rsidR="00171B41" w:rsidRDefault="00171B41" w:rsidP="00A24E1E">
      <w:pPr>
        <w:spacing w:after="0" w:line="240" w:lineRule="auto"/>
        <w:jc w:val="both"/>
        <w:rPr>
          <w:rFonts w:ascii="Arial" w:hAnsi="Arial" w:cs="Arial"/>
        </w:rPr>
      </w:pPr>
    </w:p>
    <w:p w:rsidR="00733DB1" w:rsidRDefault="00733DB1" w:rsidP="00A24E1E">
      <w:pPr>
        <w:spacing w:after="0" w:line="240" w:lineRule="auto"/>
        <w:jc w:val="both"/>
        <w:rPr>
          <w:rFonts w:ascii="Arial" w:hAnsi="Arial" w:cs="Arial"/>
        </w:rPr>
      </w:pPr>
    </w:p>
    <w:p w:rsidR="00733DB1" w:rsidRDefault="00733DB1" w:rsidP="00A24E1E">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b/>
        </w:rPr>
      </w:pPr>
      <w:r w:rsidRPr="00077F27">
        <w:rPr>
          <w:rFonts w:ascii="Arial" w:hAnsi="Arial" w:cs="Arial"/>
          <w:b/>
        </w:rPr>
        <w:t>Recibí copia del Acta de la Junta Aclaratoria</w:t>
      </w:r>
      <w:r w:rsidR="00C90DA3">
        <w:rPr>
          <w:rFonts w:ascii="Arial" w:hAnsi="Arial" w:cs="Arial"/>
          <w:b/>
        </w:rPr>
        <w:t>:</w:t>
      </w:r>
    </w:p>
    <w:p w:rsidR="00BC2F62" w:rsidRDefault="00BC2F62" w:rsidP="00077F27">
      <w:pPr>
        <w:spacing w:after="0" w:line="240" w:lineRule="auto"/>
        <w:jc w:val="both"/>
        <w:rPr>
          <w:rFonts w:ascii="Arial" w:hAnsi="Arial" w:cs="Arial"/>
        </w:rPr>
      </w:pPr>
    </w:p>
    <w:p w:rsidR="00733DB1" w:rsidRDefault="00733DB1" w:rsidP="00077F27">
      <w:pPr>
        <w:spacing w:after="0" w:line="240" w:lineRule="auto"/>
        <w:jc w:val="both"/>
        <w:rPr>
          <w:rFonts w:ascii="Arial" w:hAnsi="Arial" w:cs="Arial"/>
        </w:rPr>
      </w:pPr>
    </w:p>
    <w:p w:rsidR="00135F5A" w:rsidRDefault="00135F5A" w:rsidP="00077F27">
      <w:pPr>
        <w:spacing w:after="0" w:line="240" w:lineRule="auto"/>
        <w:jc w:val="both"/>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261"/>
        <w:gridCol w:w="3686"/>
        <w:gridCol w:w="2976"/>
      </w:tblGrid>
      <w:tr w:rsidR="00135F5A" w:rsidRPr="00EA2249" w:rsidTr="003F127E">
        <w:tc>
          <w:tcPr>
            <w:tcW w:w="425" w:type="dxa"/>
          </w:tcPr>
          <w:p w:rsidR="00135F5A" w:rsidRPr="00EA2249" w:rsidRDefault="00135F5A" w:rsidP="003F127E">
            <w:pPr>
              <w:spacing w:after="0" w:line="240" w:lineRule="auto"/>
              <w:jc w:val="both"/>
              <w:rPr>
                <w:rFonts w:ascii="Arial" w:hAnsi="Arial" w:cs="Arial"/>
                <w:b/>
              </w:rPr>
            </w:pPr>
          </w:p>
        </w:tc>
        <w:tc>
          <w:tcPr>
            <w:tcW w:w="3261"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Licitante</w:t>
            </w:r>
          </w:p>
        </w:tc>
        <w:tc>
          <w:tcPr>
            <w:tcW w:w="3686"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 xml:space="preserve">Nombre </w:t>
            </w:r>
          </w:p>
        </w:tc>
        <w:tc>
          <w:tcPr>
            <w:tcW w:w="2976"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Firma</w:t>
            </w:r>
          </w:p>
        </w:tc>
      </w:tr>
      <w:tr w:rsidR="00135F5A" w:rsidRPr="00EA2249" w:rsidTr="003F127E">
        <w:tc>
          <w:tcPr>
            <w:tcW w:w="425" w:type="dxa"/>
          </w:tcPr>
          <w:p w:rsidR="00135F5A" w:rsidRPr="002B75DD" w:rsidRDefault="00135F5A" w:rsidP="003F127E">
            <w:pPr>
              <w:spacing w:after="0" w:line="240" w:lineRule="auto"/>
              <w:jc w:val="both"/>
              <w:rPr>
                <w:rFonts w:ascii="Arial" w:hAnsi="Arial" w:cs="Arial"/>
              </w:rPr>
            </w:pPr>
            <w:r w:rsidRPr="002B75DD">
              <w:rPr>
                <w:rFonts w:ascii="Arial" w:hAnsi="Arial" w:cs="Arial"/>
              </w:rPr>
              <w:t>1</w:t>
            </w:r>
          </w:p>
        </w:tc>
        <w:tc>
          <w:tcPr>
            <w:tcW w:w="3261"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86" w:type="dxa"/>
            <w:shd w:val="clear" w:color="auto" w:fill="auto"/>
          </w:tcPr>
          <w:p w:rsidR="00135F5A" w:rsidRPr="00EA2249" w:rsidRDefault="00135F5A" w:rsidP="003F127E">
            <w:pPr>
              <w:spacing w:after="0" w:line="240" w:lineRule="auto"/>
              <w:jc w:val="both"/>
              <w:rPr>
                <w:rFonts w:ascii="Arial" w:hAnsi="Arial" w:cs="Arial"/>
                <w:b/>
              </w:rPr>
            </w:pPr>
          </w:p>
        </w:tc>
        <w:tc>
          <w:tcPr>
            <w:tcW w:w="2976"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3F127E">
        <w:tc>
          <w:tcPr>
            <w:tcW w:w="425" w:type="dxa"/>
          </w:tcPr>
          <w:p w:rsidR="00135F5A" w:rsidRPr="002B75DD" w:rsidRDefault="00135F5A" w:rsidP="003F127E">
            <w:pPr>
              <w:spacing w:after="0" w:line="240" w:lineRule="auto"/>
              <w:jc w:val="both"/>
              <w:rPr>
                <w:rFonts w:ascii="Arial" w:hAnsi="Arial" w:cs="Arial"/>
              </w:rPr>
            </w:pPr>
            <w:r w:rsidRPr="002B75DD">
              <w:rPr>
                <w:rFonts w:ascii="Arial" w:hAnsi="Arial" w:cs="Arial"/>
              </w:rPr>
              <w:t>2</w:t>
            </w:r>
          </w:p>
        </w:tc>
        <w:tc>
          <w:tcPr>
            <w:tcW w:w="3261"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86" w:type="dxa"/>
            <w:shd w:val="clear" w:color="auto" w:fill="auto"/>
          </w:tcPr>
          <w:p w:rsidR="00135F5A" w:rsidRPr="00EA2249" w:rsidRDefault="00135F5A" w:rsidP="003F127E">
            <w:pPr>
              <w:spacing w:after="0" w:line="240" w:lineRule="auto"/>
              <w:jc w:val="both"/>
              <w:rPr>
                <w:rFonts w:ascii="Arial" w:hAnsi="Arial" w:cs="Arial"/>
                <w:b/>
              </w:rPr>
            </w:pPr>
          </w:p>
        </w:tc>
        <w:tc>
          <w:tcPr>
            <w:tcW w:w="2976"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3F127E">
        <w:tc>
          <w:tcPr>
            <w:tcW w:w="425" w:type="dxa"/>
          </w:tcPr>
          <w:p w:rsidR="00135F5A" w:rsidRPr="002B75DD" w:rsidRDefault="00135F5A" w:rsidP="003F127E">
            <w:pPr>
              <w:spacing w:after="0" w:line="240" w:lineRule="auto"/>
              <w:jc w:val="both"/>
              <w:rPr>
                <w:rFonts w:ascii="Arial" w:hAnsi="Arial" w:cs="Arial"/>
              </w:rPr>
            </w:pPr>
            <w:r w:rsidRPr="002B75DD">
              <w:rPr>
                <w:rFonts w:ascii="Arial" w:hAnsi="Arial" w:cs="Arial"/>
              </w:rPr>
              <w:t>3</w:t>
            </w:r>
          </w:p>
        </w:tc>
        <w:tc>
          <w:tcPr>
            <w:tcW w:w="3261"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86" w:type="dxa"/>
            <w:shd w:val="clear" w:color="auto" w:fill="auto"/>
          </w:tcPr>
          <w:p w:rsidR="00135F5A" w:rsidRPr="00EA2249" w:rsidRDefault="00135F5A" w:rsidP="003F127E">
            <w:pPr>
              <w:spacing w:after="0" w:line="240" w:lineRule="auto"/>
              <w:jc w:val="both"/>
              <w:rPr>
                <w:rFonts w:ascii="Arial" w:hAnsi="Arial" w:cs="Arial"/>
                <w:b/>
              </w:rPr>
            </w:pPr>
          </w:p>
        </w:tc>
        <w:tc>
          <w:tcPr>
            <w:tcW w:w="2976"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3F127E">
        <w:tc>
          <w:tcPr>
            <w:tcW w:w="425" w:type="dxa"/>
          </w:tcPr>
          <w:p w:rsidR="00135F5A" w:rsidRPr="002B75DD" w:rsidRDefault="00135F5A" w:rsidP="003F127E">
            <w:pPr>
              <w:spacing w:after="0" w:line="240" w:lineRule="auto"/>
              <w:jc w:val="both"/>
              <w:rPr>
                <w:rFonts w:ascii="Arial" w:hAnsi="Arial" w:cs="Arial"/>
              </w:rPr>
            </w:pPr>
            <w:r w:rsidRPr="002B75DD">
              <w:rPr>
                <w:rFonts w:ascii="Arial" w:hAnsi="Arial" w:cs="Arial"/>
              </w:rPr>
              <w:t>4</w:t>
            </w:r>
          </w:p>
        </w:tc>
        <w:tc>
          <w:tcPr>
            <w:tcW w:w="3261"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86" w:type="dxa"/>
            <w:shd w:val="clear" w:color="auto" w:fill="auto"/>
          </w:tcPr>
          <w:p w:rsidR="00135F5A" w:rsidRPr="00EA2249" w:rsidRDefault="00135F5A" w:rsidP="003F127E">
            <w:pPr>
              <w:spacing w:after="0" w:line="240" w:lineRule="auto"/>
              <w:jc w:val="both"/>
              <w:rPr>
                <w:rFonts w:ascii="Arial" w:hAnsi="Arial" w:cs="Arial"/>
                <w:b/>
              </w:rPr>
            </w:pPr>
          </w:p>
        </w:tc>
        <w:tc>
          <w:tcPr>
            <w:tcW w:w="2976"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3F127E">
        <w:tc>
          <w:tcPr>
            <w:tcW w:w="425" w:type="dxa"/>
          </w:tcPr>
          <w:p w:rsidR="00135F5A" w:rsidRPr="002B75DD" w:rsidRDefault="00135F5A" w:rsidP="003F127E">
            <w:pPr>
              <w:spacing w:after="0" w:line="240" w:lineRule="auto"/>
              <w:jc w:val="both"/>
              <w:rPr>
                <w:rFonts w:ascii="Arial" w:hAnsi="Arial" w:cs="Arial"/>
              </w:rPr>
            </w:pPr>
            <w:r w:rsidRPr="002B75DD">
              <w:rPr>
                <w:rFonts w:ascii="Arial" w:hAnsi="Arial" w:cs="Arial"/>
              </w:rPr>
              <w:t>5</w:t>
            </w:r>
          </w:p>
        </w:tc>
        <w:tc>
          <w:tcPr>
            <w:tcW w:w="3261"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86" w:type="dxa"/>
            <w:shd w:val="clear" w:color="auto" w:fill="auto"/>
          </w:tcPr>
          <w:p w:rsidR="00135F5A" w:rsidRPr="00EA2249" w:rsidRDefault="00135F5A" w:rsidP="003F127E">
            <w:pPr>
              <w:spacing w:after="0" w:line="240" w:lineRule="auto"/>
              <w:jc w:val="both"/>
              <w:rPr>
                <w:rFonts w:ascii="Arial" w:hAnsi="Arial" w:cs="Arial"/>
                <w:b/>
              </w:rPr>
            </w:pPr>
          </w:p>
        </w:tc>
        <w:tc>
          <w:tcPr>
            <w:tcW w:w="2976" w:type="dxa"/>
            <w:shd w:val="clear" w:color="auto" w:fill="auto"/>
          </w:tcPr>
          <w:p w:rsidR="00135F5A" w:rsidRPr="00EA2249" w:rsidRDefault="00135F5A" w:rsidP="003F127E">
            <w:pPr>
              <w:spacing w:after="0" w:line="240" w:lineRule="auto"/>
              <w:jc w:val="both"/>
              <w:rPr>
                <w:rFonts w:ascii="Arial" w:hAnsi="Arial" w:cs="Arial"/>
                <w:b/>
              </w:rPr>
            </w:pPr>
          </w:p>
        </w:tc>
      </w:tr>
    </w:tbl>
    <w:p w:rsidR="00135F5A" w:rsidRDefault="00135F5A" w:rsidP="00077F27">
      <w:pPr>
        <w:spacing w:after="0" w:line="240" w:lineRule="auto"/>
        <w:jc w:val="both"/>
        <w:rPr>
          <w:rFonts w:ascii="Arial" w:hAnsi="Arial" w:cs="Arial"/>
        </w:rPr>
      </w:pPr>
    </w:p>
    <w:p w:rsidR="00135F5A" w:rsidRDefault="00135F5A" w:rsidP="004B4073">
      <w:pPr>
        <w:spacing w:after="0" w:line="240" w:lineRule="auto"/>
        <w:jc w:val="both"/>
        <w:rPr>
          <w:rFonts w:ascii="Arial" w:hAnsi="Arial" w:cs="Arial"/>
          <w:sz w:val="24"/>
          <w:szCs w:val="24"/>
          <w:u w:val="single"/>
        </w:rPr>
      </w:pPr>
    </w:p>
    <w:p w:rsidR="00E20F2B"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p w:rsidR="004D7BA0" w:rsidRPr="00804179" w:rsidRDefault="004D7BA0" w:rsidP="004B4073">
      <w:pPr>
        <w:spacing w:after="0" w:line="240" w:lineRule="auto"/>
        <w:jc w:val="both"/>
        <w:rPr>
          <w:rFonts w:ascii="Arial" w:hAnsi="Arial" w:cs="Arial"/>
          <w:sz w:val="24"/>
          <w:szCs w:val="24"/>
          <w:u w:val="single"/>
        </w:rPr>
      </w:pP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49" w:rsidRDefault="005D4449" w:rsidP="002A3C88">
      <w:pPr>
        <w:spacing w:after="0" w:line="240" w:lineRule="auto"/>
      </w:pPr>
      <w:r>
        <w:separator/>
      </w:r>
    </w:p>
  </w:endnote>
  <w:endnote w:type="continuationSeparator" w:id="0">
    <w:p w:rsidR="005D4449" w:rsidRDefault="005D4449" w:rsidP="002A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8" w:rsidRDefault="002A3C88">
    <w:pPr>
      <w:pStyle w:val="Piedepgina"/>
      <w:jc w:val="right"/>
    </w:pPr>
    <w:fldSimple w:instr="PAGE   \* MERGEFORMAT">
      <w:r w:rsidR="00C23A20" w:rsidRPr="00C23A20">
        <w:rPr>
          <w:noProof/>
          <w:lang w:val="es-ES"/>
        </w:rPr>
        <w:t>1</w:t>
      </w:r>
    </w:fldSimple>
  </w:p>
  <w:p w:rsidR="002A3C88" w:rsidRDefault="002A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49" w:rsidRDefault="005D4449" w:rsidP="002A3C88">
      <w:pPr>
        <w:spacing w:after="0" w:line="240" w:lineRule="auto"/>
      </w:pPr>
      <w:r>
        <w:separator/>
      </w:r>
    </w:p>
  </w:footnote>
  <w:footnote w:type="continuationSeparator" w:id="0">
    <w:p w:rsidR="005D4449" w:rsidRDefault="005D4449" w:rsidP="002A3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0"/>
  </w:num>
  <w:num w:numId="5">
    <w:abstractNumId w:val="15"/>
  </w:num>
  <w:num w:numId="6">
    <w:abstractNumId w:val="9"/>
  </w:num>
  <w:num w:numId="7">
    <w:abstractNumId w:val="8"/>
  </w:num>
  <w:num w:numId="8">
    <w:abstractNumId w:val="2"/>
  </w:num>
  <w:num w:numId="9">
    <w:abstractNumId w:val="12"/>
  </w:num>
  <w:num w:numId="10">
    <w:abstractNumId w:val="16"/>
  </w:num>
  <w:num w:numId="11">
    <w:abstractNumId w:val="5"/>
  </w:num>
  <w:num w:numId="12">
    <w:abstractNumId w:val="3"/>
  </w:num>
  <w:num w:numId="13">
    <w:abstractNumId w:val="11"/>
  </w:num>
  <w:num w:numId="14">
    <w:abstractNumId w:val="10"/>
  </w:num>
  <w:num w:numId="15">
    <w:abstractNumId w:val="1"/>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rsids>
    <w:rsidRoot w:val="00A74020"/>
    <w:rsid w:val="000061EB"/>
    <w:rsid w:val="00007226"/>
    <w:rsid w:val="00015A06"/>
    <w:rsid w:val="00016807"/>
    <w:rsid w:val="00026DD0"/>
    <w:rsid w:val="000308A1"/>
    <w:rsid w:val="000309BD"/>
    <w:rsid w:val="00034D57"/>
    <w:rsid w:val="00053654"/>
    <w:rsid w:val="00063090"/>
    <w:rsid w:val="000721E9"/>
    <w:rsid w:val="00077F27"/>
    <w:rsid w:val="000A111F"/>
    <w:rsid w:val="000A3982"/>
    <w:rsid w:val="000D0F3B"/>
    <w:rsid w:val="000D766A"/>
    <w:rsid w:val="000F5F6B"/>
    <w:rsid w:val="000F7891"/>
    <w:rsid w:val="001002B9"/>
    <w:rsid w:val="001056EA"/>
    <w:rsid w:val="00135F5A"/>
    <w:rsid w:val="001637A1"/>
    <w:rsid w:val="00170A25"/>
    <w:rsid w:val="00171B41"/>
    <w:rsid w:val="00184D26"/>
    <w:rsid w:val="001930AE"/>
    <w:rsid w:val="001A23EF"/>
    <w:rsid w:val="001A6003"/>
    <w:rsid w:val="001B5434"/>
    <w:rsid w:val="001C4F02"/>
    <w:rsid w:val="001D17A5"/>
    <w:rsid w:val="001D29AF"/>
    <w:rsid w:val="001D41D7"/>
    <w:rsid w:val="001E6D97"/>
    <w:rsid w:val="00217E57"/>
    <w:rsid w:val="00231AA6"/>
    <w:rsid w:val="00244941"/>
    <w:rsid w:val="00256F3F"/>
    <w:rsid w:val="002653F8"/>
    <w:rsid w:val="00293AFE"/>
    <w:rsid w:val="00296C4A"/>
    <w:rsid w:val="002A3350"/>
    <w:rsid w:val="002A368F"/>
    <w:rsid w:val="002A3C88"/>
    <w:rsid w:val="002B75DD"/>
    <w:rsid w:val="002C52D8"/>
    <w:rsid w:val="002D04B4"/>
    <w:rsid w:val="002D621E"/>
    <w:rsid w:val="002D6906"/>
    <w:rsid w:val="002D7DF7"/>
    <w:rsid w:val="002E0405"/>
    <w:rsid w:val="002E3835"/>
    <w:rsid w:val="002E5541"/>
    <w:rsid w:val="00304E75"/>
    <w:rsid w:val="00305704"/>
    <w:rsid w:val="003134A5"/>
    <w:rsid w:val="00322C88"/>
    <w:rsid w:val="00331EFD"/>
    <w:rsid w:val="00333039"/>
    <w:rsid w:val="00333DD5"/>
    <w:rsid w:val="00346D5C"/>
    <w:rsid w:val="00351E9F"/>
    <w:rsid w:val="00351EAD"/>
    <w:rsid w:val="00373818"/>
    <w:rsid w:val="0037649A"/>
    <w:rsid w:val="003B13C5"/>
    <w:rsid w:val="003C6ABF"/>
    <w:rsid w:val="003C7A3D"/>
    <w:rsid w:val="003C7C8C"/>
    <w:rsid w:val="003D7683"/>
    <w:rsid w:val="003E1F82"/>
    <w:rsid w:val="003E2CE5"/>
    <w:rsid w:val="003F127E"/>
    <w:rsid w:val="003F1296"/>
    <w:rsid w:val="004128FF"/>
    <w:rsid w:val="00412BD5"/>
    <w:rsid w:val="004147D2"/>
    <w:rsid w:val="00427453"/>
    <w:rsid w:val="004349B2"/>
    <w:rsid w:val="00446B92"/>
    <w:rsid w:val="00451BF9"/>
    <w:rsid w:val="00470DAB"/>
    <w:rsid w:val="004924B2"/>
    <w:rsid w:val="004A0781"/>
    <w:rsid w:val="004A2DCA"/>
    <w:rsid w:val="004B4073"/>
    <w:rsid w:val="004D45F1"/>
    <w:rsid w:val="004D7BA0"/>
    <w:rsid w:val="004D7C81"/>
    <w:rsid w:val="004E3A20"/>
    <w:rsid w:val="004E4183"/>
    <w:rsid w:val="004F5D58"/>
    <w:rsid w:val="00511476"/>
    <w:rsid w:val="00530860"/>
    <w:rsid w:val="00565032"/>
    <w:rsid w:val="00565A56"/>
    <w:rsid w:val="00565E05"/>
    <w:rsid w:val="00571543"/>
    <w:rsid w:val="00583E9A"/>
    <w:rsid w:val="0059221B"/>
    <w:rsid w:val="00596B75"/>
    <w:rsid w:val="005A2973"/>
    <w:rsid w:val="005C584D"/>
    <w:rsid w:val="005C6937"/>
    <w:rsid w:val="005D1AA5"/>
    <w:rsid w:val="005D4449"/>
    <w:rsid w:val="005D6FEE"/>
    <w:rsid w:val="005E5374"/>
    <w:rsid w:val="0060488E"/>
    <w:rsid w:val="00607C3F"/>
    <w:rsid w:val="006469C8"/>
    <w:rsid w:val="00660511"/>
    <w:rsid w:val="00674C58"/>
    <w:rsid w:val="00680BD9"/>
    <w:rsid w:val="0068291F"/>
    <w:rsid w:val="0069291F"/>
    <w:rsid w:val="006943A0"/>
    <w:rsid w:val="0069445B"/>
    <w:rsid w:val="006C6EEF"/>
    <w:rsid w:val="006E0269"/>
    <w:rsid w:val="006E4380"/>
    <w:rsid w:val="007018D4"/>
    <w:rsid w:val="00703AF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8339E"/>
    <w:rsid w:val="007B0164"/>
    <w:rsid w:val="007B1F87"/>
    <w:rsid w:val="007C597B"/>
    <w:rsid w:val="007E5B25"/>
    <w:rsid w:val="00804179"/>
    <w:rsid w:val="008129B9"/>
    <w:rsid w:val="00813B07"/>
    <w:rsid w:val="00813F0C"/>
    <w:rsid w:val="0081455D"/>
    <w:rsid w:val="0081606D"/>
    <w:rsid w:val="0082223F"/>
    <w:rsid w:val="00826A89"/>
    <w:rsid w:val="00840BB0"/>
    <w:rsid w:val="00842EFE"/>
    <w:rsid w:val="00851CB5"/>
    <w:rsid w:val="00866686"/>
    <w:rsid w:val="008707E5"/>
    <w:rsid w:val="00871EA6"/>
    <w:rsid w:val="008761CC"/>
    <w:rsid w:val="00886A4A"/>
    <w:rsid w:val="008B51F4"/>
    <w:rsid w:val="008B738D"/>
    <w:rsid w:val="008D6ED2"/>
    <w:rsid w:val="0090564B"/>
    <w:rsid w:val="009104D9"/>
    <w:rsid w:val="00911B12"/>
    <w:rsid w:val="00915091"/>
    <w:rsid w:val="00931A9D"/>
    <w:rsid w:val="00964C6C"/>
    <w:rsid w:val="00970CF5"/>
    <w:rsid w:val="0097245E"/>
    <w:rsid w:val="00973576"/>
    <w:rsid w:val="0099163B"/>
    <w:rsid w:val="00995829"/>
    <w:rsid w:val="009B4588"/>
    <w:rsid w:val="009C2B4B"/>
    <w:rsid w:val="009D15DE"/>
    <w:rsid w:val="009F2BEC"/>
    <w:rsid w:val="00A02C8F"/>
    <w:rsid w:val="00A048E4"/>
    <w:rsid w:val="00A07E63"/>
    <w:rsid w:val="00A12A6D"/>
    <w:rsid w:val="00A20CEE"/>
    <w:rsid w:val="00A24E1E"/>
    <w:rsid w:val="00A27772"/>
    <w:rsid w:val="00A353E6"/>
    <w:rsid w:val="00A41DC1"/>
    <w:rsid w:val="00A446C7"/>
    <w:rsid w:val="00A524E1"/>
    <w:rsid w:val="00A53EF9"/>
    <w:rsid w:val="00A54B25"/>
    <w:rsid w:val="00A74020"/>
    <w:rsid w:val="00A776AF"/>
    <w:rsid w:val="00A82F60"/>
    <w:rsid w:val="00AA04B5"/>
    <w:rsid w:val="00AA2E11"/>
    <w:rsid w:val="00AC353A"/>
    <w:rsid w:val="00AC6504"/>
    <w:rsid w:val="00AD3324"/>
    <w:rsid w:val="00AD3FCB"/>
    <w:rsid w:val="00AE3CAD"/>
    <w:rsid w:val="00AF4CC4"/>
    <w:rsid w:val="00AF6C6C"/>
    <w:rsid w:val="00AF7D16"/>
    <w:rsid w:val="00B004C2"/>
    <w:rsid w:val="00B00744"/>
    <w:rsid w:val="00B23433"/>
    <w:rsid w:val="00B2464A"/>
    <w:rsid w:val="00B351A4"/>
    <w:rsid w:val="00B3654A"/>
    <w:rsid w:val="00B44612"/>
    <w:rsid w:val="00B54AE1"/>
    <w:rsid w:val="00B66458"/>
    <w:rsid w:val="00B70B46"/>
    <w:rsid w:val="00B74CC6"/>
    <w:rsid w:val="00B765B5"/>
    <w:rsid w:val="00B767FA"/>
    <w:rsid w:val="00B803F9"/>
    <w:rsid w:val="00B87799"/>
    <w:rsid w:val="00B905A3"/>
    <w:rsid w:val="00B9644D"/>
    <w:rsid w:val="00BB09F0"/>
    <w:rsid w:val="00BB17B5"/>
    <w:rsid w:val="00BC2F62"/>
    <w:rsid w:val="00BD3E05"/>
    <w:rsid w:val="00BE43B2"/>
    <w:rsid w:val="00C001C4"/>
    <w:rsid w:val="00C02C42"/>
    <w:rsid w:val="00C12D75"/>
    <w:rsid w:val="00C16CA8"/>
    <w:rsid w:val="00C2054F"/>
    <w:rsid w:val="00C23A20"/>
    <w:rsid w:val="00C30EA6"/>
    <w:rsid w:val="00C32626"/>
    <w:rsid w:val="00C426FA"/>
    <w:rsid w:val="00C456AE"/>
    <w:rsid w:val="00C62ABA"/>
    <w:rsid w:val="00C90DA3"/>
    <w:rsid w:val="00CB63A9"/>
    <w:rsid w:val="00CF0CF6"/>
    <w:rsid w:val="00D06107"/>
    <w:rsid w:val="00D262EA"/>
    <w:rsid w:val="00D32302"/>
    <w:rsid w:val="00D444FA"/>
    <w:rsid w:val="00D46635"/>
    <w:rsid w:val="00D71789"/>
    <w:rsid w:val="00D855C3"/>
    <w:rsid w:val="00D92ED1"/>
    <w:rsid w:val="00D970CB"/>
    <w:rsid w:val="00DC1B07"/>
    <w:rsid w:val="00DC4609"/>
    <w:rsid w:val="00DD5808"/>
    <w:rsid w:val="00DD6CA2"/>
    <w:rsid w:val="00DD6E5E"/>
    <w:rsid w:val="00DE17A6"/>
    <w:rsid w:val="00E11E12"/>
    <w:rsid w:val="00E15F04"/>
    <w:rsid w:val="00E20F2B"/>
    <w:rsid w:val="00E24527"/>
    <w:rsid w:val="00E25CE5"/>
    <w:rsid w:val="00E35C65"/>
    <w:rsid w:val="00E542A2"/>
    <w:rsid w:val="00E60E48"/>
    <w:rsid w:val="00E63BAE"/>
    <w:rsid w:val="00E65573"/>
    <w:rsid w:val="00E671FF"/>
    <w:rsid w:val="00E93B63"/>
    <w:rsid w:val="00EA2249"/>
    <w:rsid w:val="00EA2A40"/>
    <w:rsid w:val="00EB0374"/>
    <w:rsid w:val="00EB1E7D"/>
    <w:rsid w:val="00EB43A1"/>
    <w:rsid w:val="00EB6196"/>
    <w:rsid w:val="00EC1062"/>
    <w:rsid w:val="00EC4667"/>
    <w:rsid w:val="00EE6A47"/>
    <w:rsid w:val="00EF12FC"/>
    <w:rsid w:val="00EF524F"/>
    <w:rsid w:val="00EF63C5"/>
    <w:rsid w:val="00F05E48"/>
    <w:rsid w:val="00F060B1"/>
    <w:rsid w:val="00F13A5F"/>
    <w:rsid w:val="00F143B7"/>
    <w:rsid w:val="00F30CDE"/>
    <w:rsid w:val="00F31274"/>
    <w:rsid w:val="00F32FA7"/>
    <w:rsid w:val="00F33D9E"/>
    <w:rsid w:val="00F35D40"/>
    <w:rsid w:val="00F4035D"/>
    <w:rsid w:val="00F430E2"/>
    <w:rsid w:val="00F4754D"/>
    <w:rsid w:val="00F51044"/>
    <w:rsid w:val="00F8353B"/>
    <w:rsid w:val="00F8497D"/>
    <w:rsid w:val="00FA4B90"/>
    <w:rsid w:val="00FB2BC2"/>
    <w:rsid w:val="00FC6027"/>
    <w:rsid w:val="00FE03F4"/>
    <w:rsid w:val="00FE1967"/>
    <w:rsid w:val="00FE7308"/>
    <w:rsid w:val="00FE74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r="http://schemas.openxmlformats.org/officeDocument/2006/relationships" xmlns:w="http://schemas.openxmlformats.org/wordprocessingml/2006/main">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3BC03-BA6B-4204-8732-C6787C0B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6296</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cp:lastModifiedBy>Hector D. Cárdenas Landino</cp:lastModifiedBy>
  <cp:revision>2</cp:revision>
  <cp:lastPrinted>2019-08-23T18:25:00Z</cp:lastPrinted>
  <dcterms:created xsi:type="dcterms:W3CDTF">2020-01-20T20:30:00Z</dcterms:created>
  <dcterms:modified xsi:type="dcterms:W3CDTF">2020-01-20T20:30:00Z</dcterms:modified>
</cp:coreProperties>
</file>