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ind w:right="-660" w:hanging="2"/>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JUNTA ACLARATORIA</w:t>
      </w:r>
      <w:r w:rsidDel="00000000" w:rsidR="00000000" w:rsidRPr="00000000">
        <w:rPr>
          <w:rtl w:val="0"/>
        </w:rPr>
      </w:r>
    </w:p>
    <w:p w:rsidR="00000000" w:rsidDel="00000000" w:rsidP="00000000" w:rsidRDefault="00000000" w:rsidRPr="00000000" w14:paraId="00000002">
      <w:pPr>
        <w:spacing w:after="0" w:line="240" w:lineRule="auto"/>
        <w:ind w:right="-660" w:hanging="2"/>
        <w:jc w:val="center"/>
        <w:rPr>
          <w:rFonts w:ascii="Arial" w:cs="Arial" w:eastAsia="Arial" w:hAnsi="Arial"/>
          <w:b w:val="1"/>
        </w:rPr>
      </w:pPr>
      <w:r w:rsidDel="00000000" w:rsidR="00000000" w:rsidRPr="00000000">
        <w:rPr>
          <w:rFonts w:ascii="Arial" w:cs="Arial" w:eastAsia="Arial" w:hAnsi="Arial"/>
          <w:b w:val="1"/>
          <w:vertAlign w:val="baseline"/>
          <w:rtl w:val="0"/>
        </w:rPr>
        <w:t xml:space="preserve">MUNICIPIO DE TLAJOMULCO DE ZÚÑIGA JALISC</w:t>
      </w:r>
      <w:r w:rsidDel="00000000" w:rsidR="00000000" w:rsidRPr="00000000">
        <w:rPr>
          <w:rFonts w:ascii="Arial" w:cs="Arial" w:eastAsia="Arial" w:hAnsi="Arial"/>
          <w:b w:val="1"/>
          <w:rtl w:val="0"/>
        </w:rPr>
        <w:t xml:space="preserve">O</w:t>
      </w:r>
    </w:p>
    <w:p w:rsidR="00000000" w:rsidDel="00000000" w:rsidP="00000000" w:rsidRDefault="00000000" w:rsidRPr="00000000" w14:paraId="00000003">
      <w:pPr>
        <w:spacing w:after="0" w:line="240" w:lineRule="auto"/>
        <w:ind w:right="-660" w:hanging="2"/>
        <w:jc w:val="center"/>
        <w:rPr>
          <w:rFonts w:ascii="Arial" w:cs="Arial" w:eastAsia="Arial" w:hAnsi="Arial"/>
          <w:b w:val="1"/>
        </w:rPr>
      </w:pPr>
      <w:r w:rsidDel="00000000" w:rsidR="00000000" w:rsidRPr="00000000">
        <w:rPr>
          <w:rFonts w:ascii="Arial" w:cs="Arial" w:eastAsia="Arial" w:hAnsi="Arial"/>
          <w:b w:val="1"/>
          <w:rtl w:val="0"/>
        </w:rPr>
        <w:t xml:space="preserve">INDAJO-018/2024</w:t>
      </w:r>
    </w:p>
    <w:p w:rsidR="00000000" w:rsidDel="00000000" w:rsidP="00000000" w:rsidRDefault="00000000" w:rsidRPr="00000000" w14:paraId="00000004">
      <w:pPr>
        <w:spacing w:after="0" w:line="240" w:lineRule="auto"/>
        <w:ind w:right="-660" w:hanging="2"/>
        <w:jc w:val="center"/>
        <w:rPr>
          <w:rFonts w:ascii="Arial" w:cs="Arial" w:eastAsia="Arial" w:hAnsi="Arial"/>
          <w:b w:val="1"/>
        </w:rPr>
      </w:pPr>
      <w:r w:rsidDel="00000000" w:rsidR="00000000" w:rsidRPr="00000000">
        <w:rPr>
          <w:rFonts w:ascii="Arial" w:cs="Arial" w:eastAsia="Arial" w:hAnsi="Arial"/>
          <w:b w:val="1"/>
          <w:rtl w:val="0"/>
        </w:rPr>
        <w:t xml:space="preserve">“ADQUISICIÓN DE SERVICIOS DE AUDITORÍA PARA LA DICTAMINACIÓN DE ESTADOS FINANCIEROS DEL EJERCICIO 2023, PARA EL INSTITUTO DE ALTERNATIVAS PARA LOS JÓVENES DEL MUNICIPIO DE TLAJOMULCO DE ZÚÑIGA, JALISCO”. (ACORTADA)</w:t>
      </w:r>
    </w:p>
    <w:p w:rsidR="00000000" w:rsidDel="00000000" w:rsidP="00000000" w:rsidRDefault="00000000" w:rsidRPr="00000000" w14:paraId="00000005">
      <w:pPr>
        <w:spacing w:after="0" w:line="240" w:lineRule="auto"/>
        <w:ind w:right="-660" w:hanging="2"/>
        <w:jc w:val="left"/>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after="0" w:line="240" w:lineRule="auto"/>
        <w:ind w:right="-660"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Siendo las </w:t>
      </w:r>
      <w:r w:rsidDel="00000000" w:rsidR="00000000" w:rsidRPr="00000000">
        <w:rPr>
          <w:rFonts w:ascii="Arial" w:cs="Arial" w:eastAsia="Arial" w:hAnsi="Arial"/>
          <w:b w:val="1"/>
          <w:rtl w:val="0"/>
        </w:rPr>
        <w:t xml:space="preserve">11</w:t>
      </w:r>
      <w:r w:rsidDel="00000000" w:rsidR="00000000" w:rsidRPr="00000000">
        <w:rPr>
          <w:rFonts w:ascii="Arial" w:cs="Arial" w:eastAsia="Arial" w:hAnsi="Arial"/>
          <w:b w:val="1"/>
          <w:vertAlign w:val="baseline"/>
          <w:rtl w:val="0"/>
        </w:rPr>
        <w:t xml:space="preserve">:30 (</w:t>
      </w:r>
      <w:r w:rsidDel="00000000" w:rsidR="00000000" w:rsidRPr="00000000">
        <w:rPr>
          <w:rFonts w:ascii="Arial" w:cs="Arial" w:eastAsia="Arial" w:hAnsi="Arial"/>
          <w:rtl w:val="0"/>
        </w:rPr>
        <w:t xml:space="preserve">once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vertAlign w:val="baseline"/>
          <w:rtl w:val="0"/>
        </w:rPr>
        <w:t xml:space="preserve">horas con </w:t>
      </w:r>
      <w:r w:rsidDel="00000000" w:rsidR="00000000" w:rsidRPr="00000000">
        <w:rPr>
          <w:rFonts w:ascii="Arial" w:cs="Arial" w:eastAsia="Arial" w:hAnsi="Arial"/>
          <w:rtl w:val="0"/>
        </w:rPr>
        <w:t xml:space="preserve">treinta</w:t>
      </w:r>
      <w:r w:rsidDel="00000000" w:rsidR="00000000" w:rsidRPr="00000000">
        <w:rPr>
          <w:rFonts w:ascii="Arial" w:cs="Arial" w:eastAsia="Arial" w:hAnsi="Arial"/>
          <w:vertAlign w:val="baseline"/>
          <w:rtl w:val="0"/>
        </w:rPr>
        <w:t xml:space="preserve"> minutos) del día </w:t>
      </w:r>
      <w:r w:rsidDel="00000000" w:rsidR="00000000" w:rsidRPr="00000000">
        <w:rPr>
          <w:rFonts w:ascii="Arial" w:cs="Arial" w:eastAsia="Arial" w:hAnsi="Arial"/>
          <w:b w:val="1"/>
          <w:rtl w:val="0"/>
        </w:rPr>
        <w:t xml:space="preserve">03 (tres)</w:t>
      </w:r>
      <w:r w:rsidDel="00000000" w:rsidR="00000000" w:rsidRPr="00000000">
        <w:rPr>
          <w:rFonts w:ascii="Arial" w:cs="Arial" w:eastAsia="Arial" w:hAnsi="Arial"/>
          <w:b w:val="1"/>
          <w:vertAlign w:val="baseline"/>
          <w:rtl w:val="0"/>
        </w:rPr>
        <w:t xml:space="preserve"> de </w:t>
      </w:r>
      <w:r w:rsidDel="00000000" w:rsidR="00000000" w:rsidRPr="00000000">
        <w:rPr>
          <w:rFonts w:ascii="Arial" w:cs="Arial" w:eastAsia="Arial" w:hAnsi="Arial"/>
          <w:b w:val="1"/>
          <w:rtl w:val="0"/>
        </w:rPr>
        <w:t xml:space="preserve">diciembre</w:t>
      </w:r>
      <w:r w:rsidDel="00000000" w:rsidR="00000000" w:rsidRPr="00000000">
        <w:rPr>
          <w:rFonts w:ascii="Arial" w:cs="Arial" w:eastAsia="Arial" w:hAnsi="Arial"/>
          <w:b w:val="1"/>
          <w:vertAlign w:val="baseline"/>
          <w:rtl w:val="0"/>
        </w:rPr>
        <w:t xml:space="preserve"> del 2024 (dos mil veinticuatro)</w:t>
      </w:r>
      <w:r w:rsidDel="00000000" w:rsidR="00000000" w:rsidRPr="00000000">
        <w:rPr>
          <w:rFonts w:ascii="Arial" w:cs="Arial" w:eastAsia="Arial" w:hAnsi="Arial"/>
          <w:vertAlign w:val="baseline"/>
          <w:rtl w:val="0"/>
        </w:rPr>
        <w:t xml:space="preserve">, reunidos en </w:t>
      </w:r>
      <w:r w:rsidDel="00000000" w:rsidR="00000000" w:rsidRPr="00000000">
        <w:rPr>
          <w:rFonts w:ascii="Arial" w:cs="Arial" w:eastAsia="Arial" w:hAnsi="Arial"/>
          <w:rtl w:val="0"/>
        </w:rPr>
        <w:t xml:space="preserve">la</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Sala de Juntas primer piso del Instituto de Alternativas para los Jóvenes de Tlajomulco de Zúñiga, Jalisco (INDAJO), ubicado en la calle Constitución Oriente, número 157 Int. C (al interior de la unidad deportiva Mariano Otero), Col. Centro, C.P. 45640 en la Cabecera Municipal de Tlajomulco de Zúñiga Jalisco, México.</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P</w:t>
      </w:r>
      <w:r w:rsidDel="00000000" w:rsidR="00000000" w:rsidRPr="00000000">
        <w:rPr>
          <w:rFonts w:ascii="Arial" w:cs="Arial" w:eastAsia="Arial" w:hAnsi="Arial"/>
          <w:vertAlign w:val="baseline"/>
          <w:rtl w:val="0"/>
        </w:rPr>
        <w:t xml:space="preserve">reviamente citados y reunidos para llevar a cabo la correspondiente </w:t>
      </w:r>
      <w:r w:rsidDel="00000000" w:rsidR="00000000" w:rsidRPr="00000000">
        <w:rPr>
          <w:rFonts w:ascii="Arial" w:cs="Arial" w:eastAsia="Arial" w:hAnsi="Arial"/>
          <w:b w:val="1"/>
          <w:vertAlign w:val="baseline"/>
          <w:rtl w:val="0"/>
        </w:rPr>
        <w:t xml:space="preserve">JUNTA ACLARATORIA</w:t>
      </w:r>
      <w:r w:rsidDel="00000000" w:rsidR="00000000" w:rsidRPr="00000000">
        <w:rPr>
          <w:rFonts w:ascii="Arial" w:cs="Arial" w:eastAsia="Arial" w:hAnsi="Arial"/>
          <w:vertAlign w:val="baseline"/>
          <w:rtl w:val="0"/>
        </w:rPr>
        <w:t xml:space="preserve">,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rsidR="00000000" w:rsidDel="00000000" w:rsidP="00000000" w:rsidRDefault="00000000" w:rsidRPr="00000000" w14:paraId="00000007">
      <w:pPr>
        <w:spacing w:after="0" w:line="240" w:lineRule="auto"/>
        <w:ind w:right="-660" w:hanging="2"/>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240" w:lineRule="auto"/>
        <w:ind w:right="-660" w:hanging="2"/>
        <w:rPr>
          <w:rFonts w:ascii="Arial" w:cs="Arial" w:eastAsia="Arial" w:hAnsi="Arial"/>
        </w:rPr>
      </w:pPr>
      <w:r w:rsidDel="00000000" w:rsidR="00000000" w:rsidRPr="00000000">
        <w:rPr>
          <w:rFonts w:ascii="Arial" w:cs="Arial" w:eastAsia="Arial" w:hAnsi="Arial"/>
          <w:rtl w:val="0"/>
        </w:rPr>
        <w:t xml:space="preserve">Las Bases de Licitación </w:t>
      </w:r>
      <w:r w:rsidDel="00000000" w:rsidR="00000000" w:rsidRPr="00000000">
        <w:rPr>
          <w:rFonts w:ascii="Arial" w:cs="Arial" w:eastAsia="Arial" w:hAnsi="Arial"/>
          <w:b w:val="1"/>
          <w:rtl w:val="0"/>
        </w:rPr>
        <w:t xml:space="preserve">INDAJO-018/2024</w:t>
      </w:r>
      <w:r w:rsidDel="00000000" w:rsidR="00000000" w:rsidRPr="00000000">
        <w:rPr>
          <w:rFonts w:ascii="Arial" w:cs="Arial" w:eastAsia="Arial" w:hAnsi="Arial"/>
          <w:rtl w:val="0"/>
        </w:rPr>
        <w:t xml:space="preserve"> en su apartado 7. JUNTA ACLARATORIA, entre otros refiere que al participante que requiera mayor información en algún punto de las citadas bases deberá presentar el formato señalado como Anexo A debidamente llenado, señalando en el asunto nombre del participante y número de concurso, documento en el cual deberán de señalar sus preguntas y enviarlo al correo electrónico: </w:t>
      </w:r>
      <w:hyperlink r:id="rId7">
        <w:r w:rsidDel="00000000" w:rsidR="00000000" w:rsidRPr="00000000">
          <w:rPr>
            <w:rFonts w:ascii="Arial" w:cs="Arial" w:eastAsia="Arial" w:hAnsi="Arial"/>
            <w:color w:val="1155cc"/>
            <w:u w:val="single"/>
            <w:rtl w:val="0"/>
          </w:rPr>
          <w:t xml:space="preserve">indajo.tlajomulco@gmail.com</w:t>
        </w:r>
      </w:hyperlink>
      <w:r w:rsidDel="00000000" w:rsidR="00000000" w:rsidRPr="00000000">
        <w:rPr>
          <w:rFonts w:ascii="Arial" w:cs="Arial" w:eastAsia="Arial" w:hAnsi="Arial"/>
          <w:rtl w:val="0"/>
        </w:rPr>
        <w:t xml:space="preserve"> a más tardar el</w:t>
      </w:r>
      <w:r w:rsidDel="00000000" w:rsidR="00000000" w:rsidRPr="00000000">
        <w:rPr>
          <w:rFonts w:ascii="Arial" w:cs="Arial" w:eastAsia="Arial" w:hAnsi="Arial"/>
          <w:b w:val="1"/>
          <w:rtl w:val="0"/>
        </w:rPr>
        <w:t xml:space="preserve"> lunes 02 (dos) de diciembre del 2024 (dos mil veinticuatro)</w:t>
      </w:r>
      <w:r w:rsidDel="00000000" w:rsidR="00000000" w:rsidRPr="00000000">
        <w:rPr>
          <w:rFonts w:ascii="Arial" w:cs="Arial" w:eastAsia="Arial" w:hAnsi="Arial"/>
          <w:rtl w:val="0"/>
        </w:rPr>
        <w:t xml:space="preserve"> (15:00 HORAS).  </w:t>
      </w:r>
    </w:p>
    <w:p w:rsidR="00000000" w:rsidDel="00000000" w:rsidP="00000000" w:rsidRDefault="00000000" w:rsidRPr="00000000" w14:paraId="00000009">
      <w:pPr>
        <w:spacing w:after="0" w:line="240" w:lineRule="auto"/>
        <w:ind w:right="-660" w:hanging="2"/>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40" w:lineRule="auto"/>
        <w:ind w:right="-660" w:hanging="2"/>
        <w:jc w:val="both"/>
        <w:rPr>
          <w:rFonts w:ascii="Arial" w:cs="Arial" w:eastAsia="Arial" w:hAnsi="Arial"/>
        </w:rPr>
      </w:pPr>
      <w:bookmarkStart w:colFirst="0" w:colLast="0" w:name="_heading=h.gjdgxs" w:id="0"/>
      <w:bookmarkEnd w:id="0"/>
      <w:r w:rsidDel="00000000" w:rsidR="00000000" w:rsidRPr="00000000">
        <w:rPr>
          <w:rFonts w:ascii="Arial" w:cs="Arial" w:eastAsia="Arial" w:hAnsi="Arial"/>
          <w:vertAlign w:val="baseline"/>
          <w:rtl w:val="0"/>
        </w:rPr>
        <w:t xml:space="preserve">Este acto </w:t>
      </w:r>
      <w:r w:rsidDel="00000000" w:rsidR="00000000" w:rsidRPr="00000000">
        <w:rPr>
          <w:rFonts w:ascii="Arial" w:cs="Arial" w:eastAsia="Arial" w:hAnsi="Arial"/>
          <w:vertAlign w:val="baseline"/>
          <w:rtl w:val="0"/>
        </w:rPr>
        <w:t xml:space="preserve">es presidido</w:t>
      </w:r>
      <w:r w:rsidDel="00000000" w:rsidR="00000000" w:rsidRPr="00000000">
        <w:rPr>
          <w:rFonts w:ascii="Arial" w:cs="Arial" w:eastAsia="Arial" w:hAnsi="Arial"/>
          <w:vertAlign w:val="baseline"/>
          <w:rtl w:val="0"/>
        </w:rPr>
        <w:t xml:space="preserve"> por el Lic. </w:t>
      </w:r>
      <w:r w:rsidDel="00000000" w:rsidR="00000000" w:rsidRPr="00000000">
        <w:rPr>
          <w:rFonts w:ascii="Arial" w:cs="Arial" w:eastAsia="Arial" w:hAnsi="Arial"/>
          <w:rtl w:val="0"/>
        </w:rPr>
        <w:t xml:space="preserve">Adrian Ruiz Rico</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presidente del Comité de Adquisiciones y Director del Instituto de Alternativas Para los Jóvenes del Municipio de Tlajomulco de Zúñiga, Jalisco, d</w:t>
      </w:r>
      <w:r w:rsidDel="00000000" w:rsidR="00000000" w:rsidRPr="00000000">
        <w:rPr>
          <w:rFonts w:ascii="Arial" w:cs="Arial" w:eastAsia="Arial" w:hAnsi="Arial"/>
          <w:vertAlign w:val="baseline"/>
          <w:rtl w:val="0"/>
        </w:rPr>
        <w:t xml:space="preserve">esignado por la convocante y por el Comité, quien da inicio a esta Junta y que no obstante que fue public</w:t>
      </w:r>
      <w:r w:rsidDel="00000000" w:rsidR="00000000" w:rsidRPr="00000000">
        <w:rPr>
          <w:rFonts w:ascii="Arial" w:cs="Arial" w:eastAsia="Arial" w:hAnsi="Arial"/>
          <w:rtl w:val="0"/>
        </w:rPr>
        <w:t xml:space="preserve">ada la licitación, </w:t>
      </w:r>
      <w:r w:rsidDel="00000000" w:rsidR="00000000" w:rsidRPr="00000000">
        <w:rPr>
          <w:rFonts w:ascii="Arial" w:cs="Arial" w:eastAsia="Arial" w:hAnsi="Arial"/>
          <w:b w:val="1"/>
          <w:rtl w:val="0"/>
        </w:rPr>
        <w:t xml:space="preserve">INDAJO-018/2024 “ADQUISICIÓN DE SERVICIOS DE AUDITORÍA PARA LA DICTAMINACIÓN DE ESTADOS FINANCIEROS DEL EJERCICIO 2023, PARA EL INSTITUTO DE ALTERNATIVAS PARA LOS JÓVENES DEL MUNICIPIO DE TLAJOMULCO DE ZÚÑIGA, JALISCO”. (ACORTADA), </w:t>
      </w:r>
      <w:r w:rsidDel="00000000" w:rsidR="00000000" w:rsidRPr="00000000">
        <w:rPr>
          <w:rFonts w:ascii="Arial" w:cs="Arial" w:eastAsia="Arial" w:hAnsi="Arial"/>
          <w:rtl w:val="0"/>
        </w:rPr>
        <w:t xml:space="preserve">ningún licitante formulado cuestionamiento alguno referente a la Convocatoria, Bases y sus Anexos por lo cual se deja constancia en esta </w:t>
      </w:r>
      <w:r w:rsidDel="00000000" w:rsidR="00000000" w:rsidRPr="00000000">
        <w:rPr>
          <w:rFonts w:ascii="Arial" w:cs="Arial" w:eastAsia="Arial" w:hAnsi="Arial"/>
          <w:b w:val="1"/>
          <w:rtl w:val="0"/>
        </w:rPr>
        <w:t xml:space="preserve">JUNTA ACLARATORIA</w:t>
      </w:r>
      <w:r w:rsidDel="00000000" w:rsidR="00000000" w:rsidRPr="00000000">
        <w:rPr>
          <w:rFonts w:ascii="Arial" w:cs="Arial" w:eastAsia="Arial" w:hAnsi="Arial"/>
          <w:rtl w:val="0"/>
        </w:rPr>
        <w:t xml:space="preserve">.</w:t>
      </w:r>
    </w:p>
    <w:p w:rsidR="00000000" w:rsidDel="00000000" w:rsidP="00000000" w:rsidRDefault="00000000" w:rsidRPr="00000000" w14:paraId="0000000B">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40" w:lineRule="auto"/>
        <w:ind w:hanging="2"/>
        <w:jc w:val="both"/>
        <w:rPr>
          <w:rFonts w:ascii="Arial" w:cs="Arial" w:eastAsia="Arial" w:hAnsi="Arial"/>
        </w:rPr>
      </w:pPr>
      <w:r w:rsidDel="00000000" w:rsidR="00000000" w:rsidRPr="00000000">
        <w:rPr>
          <w:rFonts w:ascii="Arial" w:cs="Arial" w:eastAsia="Arial" w:hAnsi="Arial"/>
          <w:rtl w:val="0"/>
        </w:rPr>
        <w:t xml:space="preserve">Lic. Adrian Ruiz Rico </w:t>
      </w:r>
    </w:p>
    <w:p w:rsidR="00000000" w:rsidDel="00000000" w:rsidP="00000000" w:rsidRDefault="00000000" w:rsidRPr="00000000" w14:paraId="00000011">
      <w:pPr>
        <w:spacing w:after="0" w:line="240" w:lineRule="auto"/>
        <w:ind w:hanging="2"/>
        <w:jc w:val="both"/>
        <w:rPr>
          <w:rFonts w:ascii="Arial" w:cs="Arial" w:eastAsia="Arial" w:hAnsi="Arial"/>
        </w:rPr>
      </w:pPr>
      <w:r w:rsidDel="00000000" w:rsidR="00000000" w:rsidRPr="00000000">
        <w:rPr>
          <w:rFonts w:ascii="Arial" w:cs="Arial" w:eastAsia="Arial" w:hAnsi="Arial"/>
          <w:rtl w:val="0"/>
        </w:rPr>
        <w:t xml:space="preserve">Presidente del Comité de Adquisiciones del Instituto de Alternativas Para los Jóvenes del Municipio de Tlajomulco de Zúñiga, Jalisco</w:t>
      </w:r>
    </w:p>
    <w:p w:rsidR="00000000" w:rsidDel="00000000" w:rsidP="00000000" w:rsidRDefault="00000000" w:rsidRPr="00000000" w14:paraId="00000012">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40" w:lineRule="auto"/>
        <w:ind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Asistieron y recibieron copia de la presente Junta Aclaratoria:</w:t>
      </w:r>
    </w:p>
    <w:p w:rsidR="00000000" w:rsidDel="00000000" w:rsidP="00000000" w:rsidRDefault="00000000" w:rsidRPr="00000000" w14:paraId="00000014">
      <w:pPr>
        <w:spacing w:after="0" w:line="240" w:lineRule="auto"/>
        <w:ind w:hanging="2"/>
        <w:jc w:val="both"/>
        <w:rPr>
          <w:rFonts w:ascii="Arial" w:cs="Arial" w:eastAsia="Arial" w:hAnsi="Arial"/>
          <w:vertAlign w:val="baseline"/>
        </w:rPr>
      </w:pPr>
      <w:r w:rsidDel="00000000" w:rsidR="00000000" w:rsidRPr="00000000">
        <w:rPr>
          <w:rtl w:val="0"/>
        </w:rPr>
      </w:r>
    </w:p>
    <w:tbl>
      <w:tblPr>
        <w:tblStyle w:val="Table1"/>
        <w:tblW w:w="96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3364"/>
        <w:gridCol w:w="3118"/>
        <w:gridCol w:w="2590"/>
        <w:tblGridChange w:id="0">
          <w:tblGrid>
            <w:gridCol w:w="567"/>
            <w:gridCol w:w="3364"/>
            <w:gridCol w:w="3118"/>
            <w:gridCol w:w="25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spacing w:after="0" w:line="240" w:lineRule="auto"/>
              <w:ind w:hanging="2"/>
              <w:jc w:val="center"/>
              <w:rPr>
                <w:rFonts w:ascii="Arial" w:cs="Arial" w:eastAsia="Arial" w:hAnsi="Arial"/>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spacing w:after="0" w:line="240" w:lineRule="auto"/>
              <w:ind w:hanging="2"/>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Licitante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spacing w:after="0" w:line="240" w:lineRule="auto"/>
              <w:ind w:hanging="2"/>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Nombre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spacing w:after="0" w:line="240" w:lineRule="auto"/>
              <w:ind w:hanging="2"/>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Firma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spacing w:after="0" w:line="240" w:lineRule="auto"/>
              <w:ind w:hanging="2"/>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spacing w:after="0" w:line="240" w:lineRule="auto"/>
              <w:ind w:hanging="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B">
            <w:pPr>
              <w:spacing w:after="0" w:line="240" w:lineRule="auto"/>
              <w:ind w:hanging="2"/>
              <w:jc w:val="both"/>
              <w:rPr>
                <w:rFonts w:ascii="Arial" w:cs="Arial" w:eastAsia="Arial" w:hAnsi="Arial"/>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spacing w:after="0" w:line="240" w:lineRule="auto"/>
              <w:ind w:hanging="2"/>
              <w:jc w:val="both"/>
              <w:rPr>
                <w:rFonts w:ascii="Arial" w:cs="Arial" w:eastAsia="Arial" w:hAnsi="Arial"/>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spacing w:after="0" w:line="240" w:lineRule="auto"/>
              <w:ind w:hanging="2"/>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spacing w:after="0" w:line="240" w:lineRule="auto"/>
              <w:ind w:hanging="2"/>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spacing w:after="0" w:line="240" w:lineRule="auto"/>
              <w:ind w:hanging="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0">
            <w:pPr>
              <w:spacing w:after="0" w:line="240" w:lineRule="auto"/>
              <w:ind w:hanging="2"/>
              <w:jc w:val="both"/>
              <w:rPr>
                <w:rFonts w:ascii="Arial" w:cs="Arial" w:eastAsia="Arial" w:hAnsi="Arial"/>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spacing w:after="0" w:line="240" w:lineRule="auto"/>
              <w:ind w:hanging="2"/>
              <w:jc w:val="both"/>
              <w:rPr>
                <w:rFonts w:ascii="Arial" w:cs="Arial" w:eastAsia="Arial" w:hAnsi="Arial"/>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spacing w:after="0" w:line="240" w:lineRule="auto"/>
              <w:ind w:hanging="2"/>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spacing w:after="0" w:line="240" w:lineRule="auto"/>
              <w:ind w:hanging="2"/>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spacing w:after="0" w:line="240" w:lineRule="auto"/>
              <w:ind w:hanging="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5">
            <w:pPr>
              <w:spacing w:after="0" w:line="240" w:lineRule="auto"/>
              <w:ind w:hanging="2"/>
              <w:jc w:val="both"/>
              <w:rPr>
                <w:rFonts w:ascii="Arial" w:cs="Arial" w:eastAsia="Arial" w:hAnsi="Arial"/>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spacing w:after="0" w:line="240" w:lineRule="auto"/>
              <w:ind w:hanging="2"/>
              <w:jc w:val="both"/>
              <w:rPr>
                <w:rFonts w:ascii="Arial" w:cs="Arial" w:eastAsia="Arial" w:hAnsi="Arial"/>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spacing w:after="0" w:line="240" w:lineRule="auto"/>
              <w:ind w:hanging="2"/>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spacing w:after="0" w:line="240" w:lineRule="auto"/>
              <w:ind w:hanging="2"/>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spacing w:after="0" w:line="240" w:lineRule="auto"/>
              <w:ind w:hanging="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A">
            <w:pPr>
              <w:spacing w:after="0" w:line="240" w:lineRule="auto"/>
              <w:ind w:hanging="2"/>
              <w:jc w:val="both"/>
              <w:rPr>
                <w:rFonts w:ascii="Arial" w:cs="Arial" w:eastAsia="Arial" w:hAnsi="Arial"/>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spacing w:after="0" w:line="240" w:lineRule="auto"/>
              <w:ind w:hanging="2"/>
              <w:jc w:val="both"/>
              <w:rPr>
                <w:rFonts w:ascii="Arial" w:cs="Arial" w:eastAsia="Arial" w:hAnsi="Arial"/>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spacing w:after="0" w:line="240" w:lineRule="auto"/>
              <w:ind w:hanging="2"/>
              <w:jc w:val="both"/>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2D">
      <w:pPr>
        <w:spacing w:after="0" w:line="240" w:lineRule="auto"/>
        <w:ind w:hanging="2"/>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2E">
      <w:pPr>
        <w:spacing w:after="0" w:line="240" w:lineRule="auto"/>
        <w:ind w:hanging="2"/>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Sin más asuntos que tratar se da por terminada la Junta Aclaratoria no habiendo más preguntas, y/o comentarios con respecto a las Bases de la Licitación </w:t>
      </w:r>
      <w:r w:rsidDel="00000000" w:rsidR="00000000" w:rsidRPr="00000000">
        <w:rPr>
          <w:rFonts w:ascii="Arial" w:cs="Arial" w:eastAsia="Arial" w:hAnsi="Arial"/>
          <w:b w:val="1"/>
          <w:rtl w:val="0"/>
        </w:rPr>
        <w:t xml:space="preserve">INDAJO-018/2024</w:t>
      </w:r>
      <w:r w:rsidDel="00000000" w:rsidR="00000000" w:rsidRPr="00000000">
        <w:rPr>
          <w:rFonts w:ascii="Arial" w:cs="Arial" w:eastAsia="Arial" w:hAnsi="Arial"/>
          <w:u w:val="single"/>
          <w:vertAlign w:val="baseline"/>
          <w:rtl w:val="0"/>
        </w:rPr>
        <w:t xml:space="preserve"> de Adquisición para el</w:t>
      </w:r>
      <w:r w:rsidDel="00000000" w:rsidR="00000000" w:rsidRPr="00000000">
        <w:rPr>
          <w:rFonts w:ascii="Arial" w:cs="Arial" w:eastAsia="Arial" w:hAnsi="Arial"/>
          <w:u w:val="single"/>
          <w:rtl w:val="0"/>
        </w:rPr>
        <w:t xml:space="preserve"> Instituto de Alternativas para los Jóvenes del </w:t>
      </w:r>
      <w:r w:rsidDel="00000000" w:rsidR="00000000" w:rsidRPr="00000000">
        <w:rPr>
          <w:rFonts w:ascii="Arial" w:cs="Arial" w:eastAsia="Arial" w:hAnsi="Arial"/>
          <w:u w:val="single"/>
          <w:vertAlign w:val="baseline"/>
          <w:rtl w:val="0"/>
        </w:rPr>
        <w:t xml:space="preserve">Municipio de Tlajomulco de Zúñiga, Jalisco, firmando en ella los que intervinieron y quisieron hacerlo.</w:t>
      </w:r>
    </w:p>
    <w:p w:rsidR="00000000" w:rsidDel="00000000" w:rsidP="00000000" w:rsidRDefault="00000000" w:rsidRPr="00000000" w14:paraId="0000002F">
      <w:pPr>
        <w:rPr/>
      </w:pPr>
      <w:r w:rsidDel="00000000" w:rsidR="00000000" w:rsidRPr="00000000">
        <w:rPr>
          <w:rtl w:val="0"/>
        </w:rPr>
      </w:r>
    </w:p>
    <w:sectPr>
      <w:headerReference r:id="rId8" w:type="default"/>
      <w:footerReference r:id="rId9" w:type="default"/>
      <w:pgSz w:h="20160" w:w="12240"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ptos"/>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tabs>
        <w:tab w:val="center" w:leader="none" w:pos="4419"/>
        <w:tab w:val="right" w:leader="none" w:pos="8838"/>
      </w:tabs>
      <w:ind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tabs>
        <w:tab w:val="center" w:leader="none" w:pos="4252"/>
        <w:tab w:val="right" w:leader="none" w:pos="8504"/>
      </w:tabs>
      <w:spacing w:line="240" w:lineRule="auto"/>
      <w:jc w:val="right"/>
      <w:rPr>
        <w:color w:val="000000"/>
      </w:rPr>
    </w:pPr>
    <w:r w:rsidDel="00000000" w:rsidR="00000000" w:rsidRPr="00000000">
      <w:rPr>
        <w:rFonts w:ascii="Aptos" w:cs="Aptos" w:eastAsia="Aptos" w:hAnsi="Aptos"/>
        <w:sz w:val="24"/>
        <w:szCs w:val="24"/>
      </w:rPr>
      <w:drawing>
        <wp:inline distB="114300" distT="114300" distL="114300" distR="114300">
          <wp:extent cx="5612130" cy="533400"/>
          <wp:effectExtent b="0" l="0" r="0" t="0"/>
          <wp:docPr id="2" name="image1.png"/>
          <a:graphic>
            <a:graphicData uri="http://schemas.openxmlformats.org/drawingml/2006/picture">
              <pic:pic>
                <pic:nvPicPr>
                  <pic:cNvPr id="0" name="image1.png"/>
                  <pic:cNvPicPr preferRelativeResize="0"/>
                </pic:nvPicPr>
                <pic:blipFill>
                  <a:blip r:embed="rId1"/>
                  <a:srcRect b="0" l="0" r="-2208" t="92530"/>
                  <a:stretch>
                    <a:fillRect/>
                  </a:stretch>
                </pic:blipFill>
                <pic:spPr>
                  <a:xfrm>
                    <a:off x="0" y="0"/>
                    <a:ext cx="5612130" cy="5334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tabs>
        <w:tab w:val="center" w:leader="none" w:pos="4419"/>
        <w:tab w:val="right" w:leader="none" w:pos="8838"/>
      </w:tabs>
      <w:spacing w:after="0" w:line="240" w:lineRule="auto"/>
      <w:rPr/>
    </w:pPr>
    <w:r w:rsidDel="00000000" w:rsidR="00000000" w:rsidRPr="00000000">
      <w:rPr>
        <w:rFonts w:ascii="Aptos" w:cs="Aptos" w:eastAsia="Aptos" w:hAnsi="Aptos"/>
        <w:sz w:val="24"/>
        <w:szCs w:val="24"/>
      </w:rPr>
      <w:drawing>
        <wp:inline distB="114300" distT="114300" distL="114300" distR="114300">
          <wp:extent cx="5612130" cy="508000"/>
          <wp:effectExtent b="0" l="0" r="0" t="0"/>
          <wp:docPr id="1" name="image1.png"/>
          <a:graphic>
            <a:graphicData uri="http://schemas.openxmlformats.org/drawingml/2006/picture">
              <pic:pic>
                <pic:nvPicPr>
                  <pic:cNvPr id="0" name="image1.png"/>
                  <pic:cNvPicPr preferRelativeResize="0"/>
                </pic:nvPicPr>
                <pic:blipFill>
                  <a:blip r:embed="rId1"/>
                  <a:srcRect b="93445" l="0" r="0" t="0"/>
                  <a:stretch>
                    <a:fillRect/>
                  </a:stretch>
                </pic:blipFill>
                <pic:spPr>
                  <a:xfrm>
                    <a:off x="0" y="0"/>
                    <a:ext cx="5612130" cy="508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160" w:line="259" w:lineRule="auto"/>
    </w:pPr>
    <w:rPr>
      <w:rFonts w:asciiTheme="minorHAnsi" w:cstheme="minorBidi" w:eastAsiaTheme="minorHAnsi" w:hAnsiTheme="minorHAnsi"/>
      <w:kern w:val="2"/>
      <w:sz w:val="22"/>
      <w:szCs w:val="22"/>
      <w:lang w:bidi="ar-SA" w:eastAsia="en-US" w:val="es-MX"/>
    </w:rPr>
  </w:style>
  <w:style w:type="character" w:styleId="2" w:default="1">
    <w:name w:val="Default Paragraph Font"/>
    <w:uiPriority w:val="1"/>
    <w:semiHidden w:val="1"/>
    <w:unhideWhenUsed w:val="1"/>
    <w:qFormat w:val="1"/>
  </w:style>
  <w:style w:type="table" w:styleId="3" w:default="1">
    <w:name w:val="Normal Table"/>
    <w:uiPriority w:val="99"/>
    <w:semiHidden w:val="1"/>
    <w:unhideWhenUsed w:val="1"/>
    <w:qFormat w:val="1"/>
    <w:tblPr>
      <w:tblCellMar>
        <w:top w:w="0.0" w:type="dxa"/>
        <w:left w:w="108.0" w:type="dxa"/>
        <w:bottom w:w="0.0" w:type="dxa"/>
        <w:right w:w="108.0" w:type="dxa"/>
      </w:tblCellMar>
    </w:tblPr>
  </w:style>
  <w:style w:type="table" w:styleId="4" w:customStyle="1">
    <w:name w:val="List Table 4 Accent 3"/>
    <w:basedOn w:val="3"/>
    <w:uiPriority w:val="49"/>
    <w:qFormat w:val="1"/>
    <w:pPr>
      <w:spacing w:after="0" w:line="240" w:lineRule="auto"/>
    </w:pPr>
    <w:rPr>
      <w:rFonts w:ascii="Tahoma" w:hAnsi="Tahoma" w:eastAsiaTheme="minorEastAsia"/>
      <w:kern w:val="0"/>
      <w:sz w:val="20"/>
      <w:szCs w:val="20"/>
      <w:lang w:eastAsia="ja-JP"/>
    </w:rPr>
    <w:tblPr>
      <w:tblBorders>
        <w:top w:color="c8c8c8" w:space="0" w:sz="4" w:themeColor="accent3" w:themeTint="000099" w:val="single"/>
        <w:left w:color="c8c8c8" w:space="0" w:sz="4" w:themeColor="accent3" w:themeTint="000099" w:val="single"/>
        <w:bottom w:color="c8c8c8" w:space="0" w:sz="4" w:themeColor="accent3" w:themeTint="000099" w:val="single"/>
        <w:right w:color="c8c8c8" w:space="0" w:sz="4" w:themeColor="accent3" w:themeTint="000099" w:val="single"/>
        <w:insideH w:color="c8c8c8" w:space="0" w:sz="4" w:themeColor="accent3" w:themeTint="000099" w:val="single"/>
      </w:tblBorders>
    </w:tblPr>
    <w:tblStylePr w:type="firstRow">
      <w:rPr>
        <w:b w:val="1"/>
        <w:bCs w:val="1"/>
        <w:color w:val="ffffff" w:themeColor="background1"/>
        <w14:textFill>
          <w14:solidFill>
            <w14:schemeClr w14:val="bg1"/>
          </w14:solidFill>
        </w14:textFill>
      </w:r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tcBorders>
        <w:shd w:color="auto" w:fill="a5a5a5" w:themeFill="accent3" w:val="clear"/>
      </w:tcPr>
    </w:tblStylePr>
    <w:tblStylePr w:type="lastRow">
      <w:rPr>
        <w:b w:val="1"/>
        <w:bCs w:val="1"/>
      </w:rPr>
      <w:tcPr>
        <w:tcBorders>
          <w:top w:color="c8c8c8" w:space="0" w:sz="4" w:themeColor="accent3" w:themeTint="000099" w:val="double"/>
        </w:tcBorders>
      </w:tcPr>
    </w:tblStylePr>
    <w:tblStylePr w:type="firstCol">
      <w:rPr>
        <w:b w:val="1"/>
        <w:bCs w:val="1"/>
      </w:rPr>
    </w:tblStylePr>
    <w:tblStylePr w:type="lastCol">
      <w:rPr>
        <w:b w:val="1"/>
        <w:bCs w:val="1"/>
      </w:rPr>
    </w:tblStylePr>
    <w:tblStylePr w:type="band1Vert">
      <w:tcPr>
        <w:shd w:color="auto" w:fill="ececec" w:themeFill="accent3" w:themeFillTint="000033" w:val="clear"/>
      </w:tcPr>
    </w:tblStylePr>
    <w:tblStylePr w:type="band1Horz">
      <w:tcPr>
        <w:shd w:color="auto" w:fill="ececec" w:themeFill="accent3" w:themeFillTint="000033" w:val="clear"/>
      </w:tcPr>
    </w:tblStylePr>
  </w:style>
  <w:style w:type="table" w:styleId="5" w:customStyle="1">
    <w:name w:val="Grid Table 4 Accent 3"/>
    <w:basedOn w:val="3"/>
    <w:uiPriority w:val="49"/>
    <w:qFormat w:val="1"/>
    <w:pPr>
      <w:spacing w:after="0" w:line="240" w:lineRule="auto"/>
    </w:pPr>
    <w:rPr>
      <w:rFonts w:ascii="Tahoma" w:hAnsi="Tahoma" w:eastAsiaTheme="minorEastAsia"/>
      <w:kern w:val="0"/>
      <w:sz w:val="20"/>
      <w:szCs w:val="20"/>
      <w:lang w:eastAsia="ja-JP"/>
    </w:rPr>
    <w:tblPr>
      <w:tblBorders>
        <w:top w:color="c8c8c8" w:space="0" w:sz="4" w:themeColor="accent3" w:themeTint="000099" w:val="single"/>
        <w:left w:color="c8c8c8" w:space="0" w:sz="4" w:themeColor="accent3" w:themeTint="000099" w:val="single"/>
        <w:bottom w:color="c8c8c8" w:space="0" w:sz="4" w:themeColor="accent3" w:themeTint="000099" w:val="single"/>
        <w:right w:color="c8c8c8" w:space="0" w:sz="4" w:themeColor="accent3" w:themeTint="000099" w:val="single"/>
        <w:insideH w:color="c8c8c8" w:space="0" w:sz="4" w:themeColor="accent3" w:themeTint="000099" w:val="single"/>
        <w:insideV w:color="c8c8c8" w:space="0" w:sz="4" w:themeColor="accent3" w:themeTint="000099" w:val="single"/>
      </w:tblBorders>
    </w:tblPr>
    <w:tblStylePr w:type="firstRow">
      <w:rPr>
        <w:b w:val="1"/>
        <w:bCs w:val="1"/>
        <w:color w:val="ffffff" w:themeColor="background1"/>
        <w14:textFill>
          <w14:solidFill>
            <w14:schemeClr w14:val="bg1"/>
          </w14:solidFill>
        </w14:textFill>
      </w:r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cPr>
        <w:tcBorders>
          <w:top w:color="a5a5a5" w:space="0" w:sz="4" w:themeColor="accent3" w:val="double"/>
        </w:tcBorders>
      </w:tcPr>
    </w:tblStylePr>
    <w:tblStylePr w:type="firstCol">
      <w:rPr>
        <w:b w:val="1"/>
        <w:bCs w:val="1"/>
      </w:rPr>
    </w:tblStylePr>
    <w:tblStylePr w:type="lastCol">
      <w:rPr>
        <w:b w:val="1"/>
        <w:bCs w:val="1"/>
      </w:rPr>
    </w:tblStylePr>
    <w:tblStylePr w:type="band1Vert">
      <w:tcPr>
        <w:shd w:color="auto" w:fill="ececec" w:themeFill="accent3" w:themeFillTint="000033" w:val="clear"/>
      </w:tcPr>
    </w:tblStylePr>
    <w:tblStylePr w:type="band1Horz">
      <w:tcPr>
        <w:shd w:color="auto" w:fill="ececec" w:themeFill="accent3"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ahoma" w:cs="Tahoma" w:eastAsia="Tahoma" w:hAnsi="Tahoma"/>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dajo.tlajomulco@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h6TV8wA46NSLVTanu3lltxMm1A==">CgMxLjAyCGguZ2pkZ3hzOAByITF2cVpwZndnYXpRTWtWelJNU1hWNzhRNkY2RnpVeGZVWQ==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2024-04-26T17:54:00Z</dcterms:created>
  <dc:creator>DAVID ENRIQUE BERNAL DORANTES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E8240653994A48E2BF647FEC5047BE54_13</vt:lpwstr>
  </property>
</Properties>
</file>