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Arial" w:eastAsia="Arial" w:hAnsi="Arial" w:cs="Arial"/>
          <w:b/>
        </w:rPr>
      </w:pPr>
      <w:r>
        <w:rPr>
          <w:rFonts w:ascii="Arial" w:eastAsia="Arial" w:hAnsi="Arial" w:cs="Arial"/>
          <w:b/>
        </w:rPr>
        <w:t>MUNICIPIO DE TLAJOMULCO DE ZÚÑIGA, JALISCO</w:t>
      </w:r>
    </w:p>
    <w:p>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INDAJO-018/2023</w:t>
      </w:r>
    </w:p>
    <w:p>
      <w:pPr>
        <w:spacing w:after="0" w:line="240" w:lineRule="auto"/>
        <w:jc w:val="center"/>
        <w:rPr>
          <w:rFonts w:ascii="Arial" w:eastAsia="Arial" w:hAnsi="Arial" w:cs="Arial"/>
          <w:b/>
          <w:sz w:val="24"/>
          <w:szCs w:val="24"/>
        </w:rPr>
      </w:pPr>
      <w:r>
        <w:rPr>
          <w:rFonts w:ascii="Arial" w:eastAsia="Arial" w:hAnsi="Arial" w:cs="Arial"/>
          <w:b/>
          <w:sz w:val="24"/>
          <w:szCs w:val="24"/>
        </w:rPr>
        <w:t>“MURALIZACIÓN DE ENTRADAS A LA CIUDAD E INTERVENCIONES ARTÍSTICAS EN EL MUNICIPIO DE TLAJOMULCO DE ZÚÑIGA, JALISCO”</w:t>
      </w:r>
    </w:p>
    <w:p>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r>
        <w:rPr>
          <w:rFonts w:ascii="Arial" w:eastAsia="Arial" w:hAnsi="Arial" w:cs="Arial"/>
          <w:b/>
          <w:sz w:val="24"/>
          <w:szCs w:val="24"/>
        </w:rPr>
        <w:t xml:space="preserve">INDAJO-018/2023 “MURALIZACIÓN DE ENTRADAS A LA CIUDAD E INTERVENCIONES ARTÍSTICAS EN EL MUNICIPIO DE TLAJOMULCO DE ZÚÑIGA, JALISCO”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pPr>
        <w:spacing w:after="0" w:line="240" w:lineRule="auto"/>
        <w:jc w:val="both"/>
        <w:rPr>
          <w:rFonts w:ascii="Arial" w:eastAsia="Arial" w:hAnsi="Arial" w:cs="Arial"/>
          <w:b/>
          <w:sz w:val="24"/>
          <w:szCs w:val="24"/>
        </w:rPr>
      </w:pPr>
    </w:p>
    <w:p>
      <w:pPr>
        <w:spacing w:after="0" w:line="240" w:lineRule="auto"/>
        <w:jc w:val="center"/>
        <w:rPr>
          <w:rFonts w:ascii="Arial" w:eastAsia="Arial" w:hAnsi="Arial" w:cs="Arial"/>
          <w:b/>
        </w:rPr>
      </w:pPr>
      <w:r>
        <w:rPr>
          <w:rFonts w:ascii="Arial" w:eastAsia="Arial" w:hAnsi="Arial" w:cs="Arial"/>
          <w:b/>
        </w:rPr>
        <w:t>CONVOCATORIA:</w:t>
      </w:r>
    </w:p>
    <w:p>
      <w:pPr>
        <w:spacing w:after="0" w:line="240" w:lineRule="auto"/>
        <w:jc w:val="center"/>
        <w:rPr>
          <w:rFonts w:ascii="Arial" w:eastAsia="Arial" w:hAnsi="Arial" w:cs="Arial"/>
          <w:b/>
        </w:rPr>
      </w:pPr>
      <w:r>
        <w:rPr>
          <w:rFonts w:ascii="Arial" w:eastAsia="Arial" w:hAnsi="Arial" w:cs="Arial"/>
          <w:b/>
        </w:rPr>
        <w:t>CRONOGRAMA</w:t>
      </w:r>
    </w:p>
    <w:p>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trPr>
          <w:trHeight w:val="195"/>
        </w:trPr>
        <w:tc>
          <w:tcPr>
            <w:tcW w:w="5201" w:type="dxa"/>
            <w:shd w:val="clear" w:color="auto" w:fill="auto"/>
          </w:tcPr>
          <w:p>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pPr>
              <w:jc w:val="both"/>
              <w:rPr>
                <w:rFonts w:ascii="Arial" w:eastAsia="Arial" w:hAnsi="Arial" w:cs="Arial"/>
                <w:b/>
                <w:highlight w:val="white"/>
              </w:rPr>
            </w:pPr>
            <w:r>
              <w:rPr>
                <w:rFonts w:ascii="Arial" w:eastAsia="Arial" w:hAnsi="Arial" w:cs="Arial"/>
                <w:b/>
                <w:highlight w:val="white"/>
              </w:rPr>
              <w:t>INDAJO-018/2023</w:t>
            </w:r>
          </w:p>
        </w:tc>
      </w:tr>
      <w:tr>
        <w:tc>
          <w:tcPr>
            <w:tcW w:w="5201" w:type="dxa"/>
            <w:shd w:val="clear" w:color="auto" w:fill="auto"/>
          </w:tcPr>
          <w:p>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color w:val="000000"/>
                <w:highlight w:val="yellow"/>
              </w:rPr>
            </w:pPr>
            <w:r>
              <w:rPr>
                <w:rFonts w:ascii="Arial" w:eastAsia="Arial" w:hAnsi="Arial" w:cs="Arial"/>
                <w:highlight w:val="white"/>
              </w:rPr>
              <w:t xml:space="preserve">Viernes </w:t>
            </w:r>
            <w:r>
              <w:rPr>
                <w:rFonts w:ascii="Arial" w:eastAsia="Arial" w:hAnsi="Arial" w:cs="Arial"/>
              </w:rPr>
              <w:t>24 de noviembre del 2023</w:t>
            </w:r>
          </w:p>
        </w:tc>
      </w:tr>
      <w:tr>
        <w:trPr>
          <w:trHeight w:val="634"/>
        </w:trPr>
        <w:tc>
          <w:tcPr>
            <w:tcW w:w="5201" w:type="dxa"/>
            <w:shd w:val="clear" w:color="auto" w:fill="auto"/>
          </w:tcPr>
          <w:p>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color w:val="000000"/>
              </w:rPr>
            </w:pPr>
            <w:bookmarkStart w:id="8" w:name="_heading=h.4d34og8" w:colFirst="0" w:colLast="0"/>
            <w:bookmarkEnd w:id="8"/>
            <w:r>
              <w:rPr>
                <w:rFonts w:ascii="Arial" w:eastAsia="Arial" w:hAnsi="Arial" w:cs="Arial"/>
              </w:rPr>
              <w:t>Lunes 27 de noviembre del 2023</w:t>
            </w:r>
          </w:p>
        </w:tc>
      </w:tr>
      <w:tr>
        <w:trPr>
          <w:trHeight w:val="664"/>
        </w:trPr>
        <w:tc>
          <w:tcPr>
            <w:tcW w:w="5201" w:type="dxa"/>
            <w:shd w:val="clear" w:color="auto" w:fill="auto"/>
          </w:tcPr>
          <w:p>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tcBorders>
              <w:top w:val="single" w:sz="4" w:space="0" w:color="000000"/>
              <w:left w:val="single" w:sz="4" w:space="0" w:color="000000"/>
              <w:bottom w:val="single" w:sz="4" w:space="0" w:color="000000"/>
              <w:right w:val="single" w:sz="4" w:space="0" w:color="000000"/>
            </w:tcBorders>
          </w:tcPr>
          <w:p>
            <w:pPr>
              <w:ind w:right="196"/>
              <w:jc w:val="both"/>
              <w:rPr>
                <w:rFonts w:ascii="Arial" w:eastAsia="Arial" w:hAnsi="Arial" w:cs="Arial"/>
              </w:rPr>
            </w:pPr>
            <w:r>
              <w:rPr>
                <w:rFonts w:ascii="Arial" w:eastAsia="Arial" w:hAnsi="Arial" w:cs="Arial"/>
                <w:color w:val="000000"/>
              </w:rPr>
              <w:t xml:space="preserve">Hasta el lunes 4 de diciembre </w:t>
            </w:r>
            <w:r>
              <w:rPr>
                <w:rFonts w:ascii="Arial" w:eastAsia="Arial" w:hAnsi="Arial" w:cs="Arial"/>
                <w:b/>
                <w:highlight w:val="white"/>
              </w:rPr>
              <w:t xml:space="preserve"> </w:t>
            </w:r>
            <w:r>
              <w:rPr>
                <w:rFonts w:ascii="Arial" w:eastAsia="Arial" w:hAnsi="Arial" w:cs="Arial"/>
                <w:color w:val="000000"/>
                <w:highlight w:val="white"/>
              </w:rPr>
              <w:t>del 202</w:t>
            </w:r>
            <w:r>
              <w:rPr>
                <w:rFonts w:ascii="Arial" w:eastAsia="Arial" w:hAnsi="Arial" w:cs="Arial"/>
                <w:highlight w:val="white"/>
              </w:rPr>
              <w:t>3</w:t>
            </w:r>
            <w:r>
              <w:rPr>
                <w:rFonts w:ascii="Arial" w:eastAsia="Arial" w:hAnsi="Arial" w:cs="Arial"/>
                <w:b/>
                <w:color w:val="000000"/>
              </w:rPr>
              <w:t xml:space="preserve"> </w:t>
            </w:r>
            <w:r>
              <w:rPr>
                <w:rFonts w:ascii="Arial" w:eastAsia="Arial" w:hAnsi="Arial" w:cs="Arial"/>
                <w:color w:val="000000"/>
              </w:rPr>
              <w:t>a las 1</w:t>
            </w:r>
            <w:r>
              <w:rPr>
                <w:rFonts w:ascii="Arial" w:eastAsia="Arial" w:hAnsi="Arial" w:cs="Arial"/>
              </w:rPr>
              <w:t>2</w:t>
            </w:r>
            <w:r>
              <w:rPr>
                <w:rFonts w:ascii="Arial" w:eastAsia="Arial" w:hAnsi="Arial" w:cs="Arial"/>
                <w:color w:val="000000"/>
              </w:rPr>
              <w:t>:00 horas, correo:</w:t>
            </w:r>
            <w:r>
              <w:rPr>
                <w:rFonts w:ascii="Arial" w:eastAsia="Arial" w:hAnsi="Arial" w:cs="Arial"/>
                <w:color w:val="0000FF"/>
                <w:u w:val="single"/>
              </w:rPr>
              <w:t xml:space="preserve"> indajo.tlajomulco@gmail.com</w:t>
            </w:r>
          </w:p>
        </w:tc>
      </w:tr>
      <w:tr>
        <w:trPr>
          <w:trHeight w:val="282"/>
        </w:trPr>
        <w:tc>
          <w:tcPr>
            <w:tcW w:w="5201" w:type="dxa"/>
            <w:shd w:val="clear" w:color="auto" w:fill="auto"/>
          </w:tcPr>
          <w:p>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color w:val="000000"/>
              </w:rPr>
            </w:pPr>
            <w:r>
              <w:rPr>
                <w:rFonts w:ascii="Arial" w:eastAsia="Arial" w:hAnsi="Arial" w:cs="Arial"/>
              </w:rPr>
              <w:t>Miércoles lunes 4 de diciembre</w:t>
            </w:r>
            <w:r>
              <w:rPr>
                <w:rFonts w:ascii="Arial" w:eastAsia="Arial" w:hAnsi="Arial" w:cs="Arial"/>
                <w:b/>
              </w:rPr>
              <w:t xml:space="preserve">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w:t>
            </w:r>
            <w:r>
              <w:rPr>
                <w:rFonts w:ascii="Arial" w:eastAsia="Arial" w:hAnsi="Arial" w:cs="Arial"/>
                <w:b/>
              </w:rPr>
              <w:t>3</w:t>
            </w:r>
            <w:r>
              <w:rPr>
                <w:rFonts w:ascii="Arial" w:eastAsia="Arial" w:hAnsi="Arial" w:cs="Arial"/>
                <w:b/>
                <w:color w:val="000000"/>
              </w:rPr>
              <w:t>:00</w:t>
            </w:r>
            <w:r>
              <w:rPr>
                <w:rFonts w:ascii="Arial" w:eastAsia="Arial" w:hAnsi="Arial" w:cs="Arial"/>
                <w:color w:val="000000"/>
              </w:rPr>
              <w:t xml:space="preserve"> </w:t>
            </w:r>
            <w:bookmarkStart w:id="9" w:name="bookmark=id.2s8eyo1" w:colFirst="0" w:colLast="0"/>
            <w:bookmarkStart w:id="10" w:name="bookmark=id.17dp8vu" w:colFirst="0" w:colLast="0"/>
            <w:bookmarkEnd w:id="9"/>
            <w:bookmarkEnd w:id="10"/>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6in1rg" w:colFirst="0" w:colLast="0"/>
            <w:bookmarkStart w:id="12" w:name="bookmark=id.3rdcrjn" w:colFirst="0" w:colLast="0"/>
            <w:bookmarkEnd w:id="11"/>
            <w:bookmarkEnd w:id="12"/>
            <w:r>
              <w:rPr>
                <w:rFonts w:ascii="Arial" w:eastAsia="Arial" w:hAnsi="Arial" w:cs="Arial"/>
                <w:color w:val="000000"/>
              </w:rPr>
              <w:t xml:space="preserve">, número 157 Int. C (al interior de la unidad deportiva Mariano Otero), Col. Centro, C.P. 45640 en la Cabecera Municipal de </w:t>
            </w:r>
            <w:r>
              <w:rPr>
                <w:rFonts w:ascii="Arial" w:eastAsia="Arial" w:hAnsi="Arial" w:cs="Arial"/>
                <w:color w:val="000000"/>
              </w:rPr>
              <w:lastRenderedPageBreak/>
              <w:t>Tlajomulco de Zúñiga, Jalisco, México.</w:t>
            </w:r>
          </w:p>
        </w:tc>
      </w:tr>
      <w:tr>
        <w:trPr>
          <w:trHeight w:val="1157"/>
        </w:trPr>
        <w:tc>
          <w:tcPr>
            <w:tcW w:w="5201" w:type="dxa"/>
            <w:shd w:val="clear" w:color="auto" w:fill="auto"/>
          </w:tcPr>
          <w:p>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rPr>
            </w:pPr>
            <w:r>
              <w:rPr>
                <w:rFonts w:ascii="Arial" w:eastAsia="Arial" w:hAnsi="Arial" w:cs="Arial"/>
                <w:color w:val="000000"/>
              </w:rPr>
              <w:t xml:space="preserve">La presentación de proposiciones iniciará el </w:t>
            </w:r>
            <w:r>
              <w:rPr>
                <w:rFonts w:ascii="Arial" w:eastAsia="Arial" w:hAnsi="Arial" w:cs="Arial"/>
              </w:rPr>
              <w:t xml:space="preserve">Viernes 08 de diciembre del 2023 </w:t>
            </w:r>
            <w:r>
              <w:rPr>
                <w:rFonts w:ascii="Arial" w:eastAsia="Arial" w:hAnsi="Arial" w:cs="Arial"/>
                <w:b/>
                <w:color w:val="000000"/>
              </w:rPr>
              <w:t xml:space="preserve"> a las</w:t>
            </w:r>
            <w:r>
              <w:rPr>
                <w:rFonts w:ascii="Arial" w:eastAsia="Arial" w:hAnsi="Arial" w:cs="Arial"/>
                <w:b/>
                <w:color w:val="000000"/>
                <w:highlight w:val="white"/>
              </w:rPr>
              <w:t xml:space="preserve"> </w:t>
            </w:r>
            <w:r>
              <w:rPr>
                <w:rFonts w:ascii="Arial" w:eastAsia="Arial" w:hAnsi="Arial" w:cs="Arial"/>
                <w:b/>
                <w:highlight w:val="white"/>
              </w:rPr>
              <w:t>8</w:t>
            </w:r>
            <w:r>
              <w:rPr>
                <w:rFonts w:ascii="Arial" w:eastAsia="Arial" w:hAnsi="Arial" w:cs="Arial"/>
                <w:b/>
                <w:color w:val="000000"/>
                <w:highlight w:val="white"/>
              </w:rPr>
              <w:t>:</w:t>
            </w:r>
            <w:r>
              <w:rPr>
                <w:rFonts w:ascii="Arial" w:eastAsia="Arial" w:hAnsi="Arial" w:cs="Arial"/>
                <w:b/>
                <w:highlight w:val="white"/>
              </w:rPr>
              <w:t>3</w:t>
            </w:r>
            <w:r>
              <w:rPr>
                <w:rFonts w:ascii="Arial" w:eastAsia="Arial" w:hAnsi="Arial" w:cs="Arial"/>
                <w:b/>
                <w:color w:val="000000"/>
                <w:highlight w:val="white"/>
              </w:rPr>
              <w:t>0 y concluirá a las 09:50 horas</w:t>
            </w:r>
            <w:r>
              <w:rPr>
                <w:rFonts w:ascii="Arial" w:eastAsia="Arial" w:hAnsi="Arial" w:cs="Arial"/>
                <w:b/>
                <w:color w:val="000000"/>
              </w:rPr>
              <w:t xml:space="preserve"> </w:t>
            </w:r>
            <w:r>
              <w:rPr>
                <w:rFonts w:ascii="Arial" w:eastAsia="Arial" w:hAnsi="Arial" w:cs="Arial"/>
                <w:color w:val="000000"/>
              </w:rPr>
              <w:t>en el inmueble ubicado Av. López Mateos Sur No. 1710 “E”, salón 01 del Hotel: Microtel Inn &amp; Suites by Wyndham Guadalajara Sur, Colonia Santa Isabel, Tlajomulco de Zúñiga, Jalisco. C.P. 45645.</w:t>
            </w:r>
          </w:p>
        </w:tc>
      </w:tr>
      <w:tr>
        <w:trPr>
          <w:trHeight w:val="1157"/>
        </w:trPr>
        <w:tc>
          <w:tcPr>
            <w:tcW w:w="5201" w:type="dxa"/>
            <w:shd w:val="clear" w:color="auto" w:fill="auto"/>
          </w:tcPr>
          <w:p>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pPr>
              <w:jc w:val="both"/>
              <w:rPr>
                <w:rFonts w:ascii="Arial" w:eastAsia="Arial" w:hAnsi="Arial" w:cs="Arial"/>
              </w:rPr>
            </w:pPr>
            <w:r>
              <w:rPr>
                <w:rFonts w:ascii="Arial" w:eastAsia="Arial" w:hAnsi="Arial" w:cs="Arial"/>
                <w:color w:val="000000"/>
              </w:rPr>
              <w:t>La apertura de proposiciones iniciará el Viernes 08 de diciembre del 202</w:t>
            </w:r>
            <w:r>
              <w:rPr>
                <w:rFonts w:ascii="Arial" w:eastAsia="Arial" w:hAnsi="Arial" w:cs="Arial"/>
              </w:rPr>
              <w:t>3</w:t>
            </w:r>
            <w:r>
              <w:rPr>
                <w:rFonts w:ascii="Arial" w:eastAsia="Arial" w:hAnsi="Arial" w:cs="Arial"/>
                <w:b/>
                <w:color w:val="000000"/>
              </w:rPr>
              <w:t xml:space="preserve"> </w:t>
            </w:r>
            <w:r>
              <w:rPr>
                <w:rFonts w:ascii="Arial" w:eastAsia="Arial" w:hAnsi="Arial" w:cs="Arial"/>
                <w:b/>
                <w:color w:val="000000"/>
                <w:highlight w:val="white"/>
              </w:rPr>
              <w:t>a las 10:</w:t>
            </w:r>
            <w:r>
              <w:rPr>
                <w:rFonts w:ascii="Arial" w:eastAsia="Arial" w:hAnsi="Arial" w:cs="Arial"/>
                <w:b/>
                <w:highlight w:val="white"/>
              </w:rPr>
              <w:t>0</w:t>
            </w:r>
            <w:r>
              <w:rPr>
                <w:rFonts w:ascii="Arial" w:eastAsia="Arial" w:hAnsi="Arial" w:cs="Arial"/>
                <w:b/>
                <w:color w:val="000000"/>
                <w:highlight w:val="white"/>
              </w:rPr>
              <w:t>0</w:t>
            </w:r>
            <w:r>
              <w:rPr>
                <w:rFonts w:ascii="Arial" w:eastAsia="Arial" w:hAnsi="Arial" w:cs="Arial"/>
                <w:b/>
                <w:color w:val="000000"/>
              </w:rPr>
              <w:t xml:space="preserve"> </w:t>
            </w:r>
            <w:r>
              <w:rPr>
                <w:rFonts w:ascii="Arial" w:eastAsia="Arial" w:hAnsi="Arial" w:cs="Arial"/>
                <w:color w:val="000000"/>
              </w:rPr>
              <w:t>en el inmueble ubicado en Av. López Mateos Sur No. 1710 “E”, salón 01 del Hotel: Microtel Inn &amp; Suites by Wyndham Guadalajara Sur, Colonia Sant</w:t>
            </w:r>
            <w:bookmarkStart w:id="13" w:name="_GoBack"/>
            <w:bookmarkEnd w:id="13"/>
            <w:r>
              <w:rPr>
                <w:rFonts w:ascii="Arial" w:eastAsia="Arial" w:hAnsi="Arial" w:cs="Arial"/>
                <w:color w:val="000000"/>
              </w:rPr>
              <w:t>a Isabel, Tlajomulco de Zúñiga, Jalisco. C.P. 45645.</w:t>
            </w:r>
          </w:p>
        </w:tc>
      </w:tr>
      <w:tr>
        <w:tc>
          <w:tcPr>
            <w:tcW w:w="5201" w:type="dxa"/>
            <w:shd w:val="clear" w:color="auto" w:fill="auto"/>
          </w:tcPr>
          <w:p>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tc>
          <w:tcPr>
            <w:tcW w:w="5201" w:type="dxa"/>
            <w:shd w:val="clear" w:color="auto" w:fill="auto"/>
          </w:tcPr>
          <w:p>
            <w:pPr>
              <w:rPr>
                <w:rFonts w:ascii="Arial" w:eastAsia="Arial" w:hAnsi="Arial" w:cs="Arial"/>
              </w:rPr>
            </w:pPr>
            <w:r>
              <w:rPr>
                <w:rFonts w:ascii="Arial" w:eastAsia="Arial" w:hAnsi="Arial" w:cs="Arial"/>
              </w:rPr>
              <w:t>Origen de los Recursos (art. 59, F. II, Ley)</w:t>
            </w:r>
          </w:p>
        </w:tc>
        <w:tc>
          <w:tcPr>
            <w:tcW w:w="4942" w:type="dxa"/>
            <w:shd w:val="clear" w:color="auto" w:fill="auto"/>
          </w:tcPr>
          <w:p>
            <w:pPr>
              <w:jc w:val="both"/>
              <w:rPr>
                <w:rFonts w:ascii="Arial" w:eastAsia="Arial" w:hAnsi="Arial" w:cs="Arial"/>
              </w:rPr>
            </w:pPr>
            <w:r>
              <w:rPr>
                <w:rFonts w:ascii="Arial" w:eastAsia="Arial" w:hAnsi="Arial" w:cs="Arial"/>
              </w:rPr>
              <w:t xml:space="preserve">Municipal </w:t>
            </w:r>
          </w:p>
        </w:tc>
      </w:tr>
      <w:tr>
        <w:tc>
          <w:tcPr>
            <w:tcW w:w="5201" w:type="dxa"/>
            <w:shd w:val="clear" w:color="auto" w:fill="auto"/>
          </w:tcPr>
          <w:p>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pPr>
              <w:jc w:val="both"/>
              <w:rPr>
                <w:rFonts w:ascii="Arial" w:eastAsia="Arial" w:hAnsi="Arial" w:cs="Arial"/>
              </w:rPr>
            </w:pPr>
            <w:r>
              <w:rPr>
                <w:rFonts w:ascii="Arial" w:eastAsia="Arial" w:hAnsi="Arial" w:cs="Arial"/>
              </w:rPr>
              <w:t>Local</w:t>
            </w:r>
          </w:p>
        </w:tc>
      </w:tr>
      <w:tr>
        <w:tc>
          <w:tcPr>
            <w:tcW w:w="5201" w:type="dxa"/>
            <w:shd w:val="clear" w:color="auto" w:fill="auto"/>
          </w:tcPr>
          <w:p>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pPr>
              <w:jc w:val="both"/>
              <w:rPr>
                <w:rFonts w:ascii="Arial" w:eastAsia="Arial" w:hAnsi="Arial" w:cs="Arial"/>
              </w:rPr>
            </w:pPr>
            <w:r>
              <w:rPr>
                <w:rFonts w:ascii="Arial" w:eastAsia="Arial" w:hAnsi="Arial" w:cs="Arial"/>
              </w:rPr>
              <w:t>Español</w:t>
            </w:r>
          </w:p>
        </w:tc>
      </w:tr>
      <w:tr>
        <w:tc>
          <w:tcPr>
            <w:tcW w:w="5201" w:type="dxa"/>
            <w:shd w:val="clear" w:color="auto" w:fill="auto"/>
          </w:tcPr>
          <w:p>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pPr>
              <w:jc w:val="both"/>
              <w:rPr>
                <w:rFonts w:ascii="Arial" w:eastAsia="Arial" w:hAnsi="Arial" w:cs="Arial"/>
              </w:rPr>
            </w:pPr>
            <w:r>
              <w:rPr>
                <w:rFonts w:ascii="Arial" w:eastAsia="Arial" w:hAnsi="Arial" w:cs="Arial"/>
              </w:rPr>
              <w:t>2023-2024</w:t>
            </w:r>
          </w:p>
        </w:tc>
      </w:tr>
      <w:tr>
        <w:tc>
          <w:tcPr>
            <w:tcW w:w="5201" w:type="dxa"/>
            <w:shd w:val="clear" w:color="auto" w:fill="auto"/>
          </w:tcPr>
          <w:p>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pPr>
              <w:jc w:val="both"/>
              <w:rPr>
                <w:rFonts w:ascii="Arial" w:eastAsia="Arial" w:hAnsi="Arial" w:cs="Arial"/>
              </w:rPr>
            </w:pPr>
            <w:r>
              <w:rPr>
                <w:rFonts w:ascii="Arial" w:eastAsia="Arial" w:hAnsi="Arial" w:cs="Arial"/>
              </w:rPr>
              <w:t>SI</w:t>
            </w:r>
          </w:p>
        </w:tc>
      </w:tr>
      <w:tr>
        <w:tc>
          <w:tcPr>
            <w:tcW w:w="5201" w:type="dxa"/>
            <w:shd w:val="clear" w:color="auto" w:fill="auto"/>
          </w:tcPr>
          <w:p>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pPr>
              <w:jc w:val="both"/>
              <w:rPr>
                <w:rFonts w:ascii="Arial" w:eastAsia="Arial" w:hAnsi="Arial" w:cs="Arial"/>
                <w:b/>
              </w:rPr>
            </w:pPr>
            <w:r>
              <w:rPr>
                <w:rFonts w:ascii="Arial" w:eastAsia="Arial" w:hAnsi="Arial" w:cs="Arial"/>
                <w:b/>
              </w:rPr>
              <w:t>Contrato o Pedido (Orden de Compra) abierto</w:t>
            </w:r>
          </w:p>
        </w:tc>
      </w:tr>
      <w:tr>
        <w:tc>
          <w:tcPr>
            <w:tcW w:w="5201" w:type="dxa"/>
            <w:shd w:val="clear" w:color="auto" w:fill="auto"/>
          </w:tcPr>
          <w:p>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pPr>
              <w:jc w:val="both"/>
              <w:rPr>
                <w:rFonts w:ascii="Arial" w:eastAsia="Arial" w:hAnsi="Arial" w:cs="Arial"/>
              </w:rPr>
            </w:pPr>
            <w:r>
              <w:rPr>
                <w:rFonts w:ascii="Arial" w:eastAsia="Arial" w:hAnsi="Arial" w:cs="Arial"/>
              </w:rPr>
              <w:t>NO</w:t>
            </w:r>
          </w:p>
        </w:tc>
      </w:tr>
      <w:tr>
        <w:tc>
          <w:tcPr>
            <w:tcW w:w="5201" w:type="dxa"/>
            <w:shd w:val="clear" w:color="auto" w:fill="auto"/>
          </w:tcPr>
          <w:p>
            <w:pPr>
              <w:jc w:val="both"/>
              <w:rPr>
                <w:rFonts w:ascii="Arial" w:eastAsia="Arial" w:hAnsi="Arial" w:cs="Arial"/>
              </w:rPr>
            </w:pPr>
            <w:r>
              <w:rPr>
                <w:rFonts w:ascii="Arial" w:eastAsia="Arial" w:hAnsi="Arial" w:cs="Arial"/>
              </w:rPr>
              <w:t xml:space="preserve">Adjudicación de los Bienes o Servicios (por partida/todo a un solo proveedor (Art. 59, F. XI, </w:t>
            </w:r>
            <w:r>
              <w:rPr>
                <w:rFonts w:ascii="Arial" w:eastAsia="Arial" w:hAnsi="Arial" w:cs="Arial"/>
              </w:rPr>
              <w:lastRenderedPageBreak/>
              <w:t>Ley)</w:t>
            </w:r>
          </w:p>
        </w:tc>
        <w:tc>
          <w:tcPr>
            <w:tcW w:w="4942" w:type="dxa"/>
            <w:shd w:val="clear" w:color="auto" w:fill="auto"/>
          </w:tcPr>
          <w:p>
            <w:pPr>
              <w:jc w:val="both"/>
              <w:rPr>
                <w:rFonts w:ascii="Arial" w:eastAsia="Arial" w:hAnsi="Arial" w:cs="Arial"/>
                <w:b/>
              </w:rPr>
            </w:pPr>
            <w:r>
              <w:rPr>
                <w:rFonts w:ascii="Arial" w:eastAsia="Arial" w:hAnsi="Arial" w:cs="Arial"/>
                <w:b/>
              </w:rPr>
              <w:lastRenderedPageBreak/>
              <w:t xml:space="preserve">Se adjudicara a un solo licitante </w:t>
            </w:r>
          </w:p>
        </w:tc>
      </w:tr>
      <w:tr>
        <w:tc>
          <w:tcPr>
            <w:tcW w:w="5201" w:type="dxa"/>
            <w:shd w:val="clear" w:color="auto" w:fill="auto"/>
          </w:tcPr>
          <w:p>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pPr>
              <w:jc w:val="both"/>
              <w:rPr>
                <w:rFonts w:ascii="Arial" w:eastAsia="Arial" w:hAnsi="Arial" w:cs="Arial"/>
              </w:rPr>
            </w:pPr>
            <w:r>
              <w:rPr>
                <w:rFonts w:ascii="Arial" w:eastAsia="Arial" w:hAnsi="Arial" w:cs="Arial"/>
              </w:rPr>
              <w:t>NO</w:t>
            </w:r>
          </w:p>
        </w:tc>
      </w:tr>
      <w:tr>
        <w:tc>
          <w:tcPr>
            <w:tcW w:w="5201" w:type="dxa"/>
            <w:shd w:val="clear" w:color="auto" w:fill="auto"/>
          </w:tcPr>
          <w:p>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pPr>
              <w:jc w:val="both"/>
              <w:rPr>
                <w:rFonts w:ascii="Arial" w:eastAsia="Arial" w:hAnsi="Arial" w:cs="Arial"/>
              </w:rPr>
            </w:pPr>
            <w:r>
              <w:rPr>
                <w:rFonts w:ascii="Arial" w:eastAsia="Arial" w:hAnsi="Arial" w:cs="Arial"/>
              </w:rPr>
              <w:t>Binario</w:t>
            </w:r>
          </w:p>
        </w:tc>
      </w:tr>
      <w:tr>
        <w:tc>
          <w:tcPr>
            <w:tcW w:w="5201" w:type="dxa"/>
            <w:shd w:val="clear" w:color="auto" w:fill="auto"/>
          </w:tcPr>
          <w:p>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pPr>
              <w:jc w:val="both"/>
              <w:rPr>
                <w:rFonts w:ascii="Arial" w:eastAsia="Arial" w:hAnsi="Arial" w:cs="Arial"/>
              </w:rPr>
            </w:pPr>
            <w:r>
              <w:rPr>
                <w:rFonts w:ascii="Arial" w:eastAsia="Arial" w:hAnsi="Arial" w:cs="Arial"/>
              </w:rPr>
              <w:t>Anexo 1</w:t>
            </w:r>
          </w:p>
        </w:tc>
      </w:tr>
      <w:tr>
        <w:trPr>
          <w:trHeight w:val="1833"/>
        </w:trPr>
        <w:tc>
          <w:tcPr>
            <w:tcW w:w="5201" w:type="dxa"/>
            <w:shd w:val="clear" w:color="auto" w:fill="auto"/>
          </w:tcPr>
          <w:p>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pPr>
              <w:jc w:val="both"/>
              <w:rPr>
                <w:rFonts w:ascii="Arial" w:eastAsia="Arial" w:hAnsi="Arial" w:cs="Arial"/>
              </w:rPr>
            </w:pPr>
          </w:p>
          <w:p>
            <w:pPr>
              <w:jc w:val="both"/>
              <w:rPr>
                <w:rFonts w:ascii="Arial" w:eastAsia="Arial" w:hAnsi="Arial" w:cs="Arial"/>
              </w:rPr>
            </w:pPr>
            <w:r>
              <w:rPr>
                <w:rFonts w:ascii="Arial" w:eastAsia="Arial" w:hAnsi="Arial" w:cs="Arial"/>
              </w:rPr>
              <w:t>1.- Acreditación Legal</w:t>
            </w:r>
          </w:p>
          <w:p>
            <w:pPr>
              <w:jc w:val="both"/>
              <w:rPr>
                <w:rFonts w:ascii="Arial" w:eastAsia="Arial" w:hAnsi="Arial" w:cs="Arial"/>
              </w:rPr>
            </w:pPr>
          </w:p>
          <w:p>
            <w:pPr>
              <w:jc w:val="both"/>
              <w:rPr>
                <w:rFonts w:ascii="Arial" w:eastAsia="Arial" w:hAnsi="Arial" w:cs="Arial"/>
              </w:rPr>
            </w:pPr>
            <w:r>
              <w:rPr>
                <w:rFonts w:ascii="Arial" w:eastAsia="Arial" w:hAnsi="Arial" w:cs="Arial"/>
              </w:rPr>
              <w:t>2.- Manifestación de NO encontrarse en los supuestos del Art 52 de la Ley</w:t>
            </w:r>
          </w:p>
          <w:p>
            <w:pPr>
              <w:jc w:val="both"/>
              <w:rPr>
                <w:rFonts w:ascii="Arial" w:eastAsia="Arial" w:hAnsi="Arial" w:cs="Arial"/>
              </w:rPr>
            </w:pPr>
          </w:p>
          <w:p>
            <w:pPr>
              <w:jc w:val="both"/>
              <w:rPr>
                <w:rFonts w:ascii="Arial" w:eastAsia="Arial" w:hAnsi="Arial" w:cs="Arial"/>
              </w:rPr>
            </w:pPr>
            <w:r>
              <w:rPr>
                <w:rFonts w:ascii="Arial" w:eastAsia="Arial" w:hAnsi="Arial" w:cs="Arial"/>
              </w:rPr>
              <w:t>3.- Manifestación de Integridad y NO colusión</w:t>
            </w:r>
          </w:p>
          <w:p>
            <w:pPr>
              <w:jc w:val="both"/>
              <w:rPr>
                <w:rFonts w:ascii="Arial" w:eastAsia="Arial" w:hAnsi="Arial" w:cs="Arial"/>
              </w:rPr>
            </w:pPr>
          </w:p>
          <w:p>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pPr>
              <w:jc w:val="both"/>
              <w:rPr>
                <w:rFonts w:ascii="Arial" w:eastAsia="Arial" w:hAnsi="Arial" w:cs="Arial"/>
              </w:rPr>
            </w:pPr>
          </w:p>
          <w:p>
            <w:pPr>
              <w:jc w:val="both"/>
              <w:rPr>
                <w:rFonts w:ascii="Arial" w:eastAsia="Arial" w:hAnsi="Arial" w:cs="Arial"/>
              </w:rPr>
            </w:pPr>
          </w:p>
          <w:p>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9E0B81" w:rsidRDefault="009E0B81">
                            <w:pPr>
                              <w:spacing w:after="0" w:line="240" w:lineRule="auto"/>
                              <w:textDirection w:val="btLr"/>
                            </w:pPr>
                          </w:p>
                        </w:txbxContent>
                      </v:textbox>
                    </v:rect>
                  </w:pict>
                </mc:Fallback>
              </mc:AlternateContent>
            </w:r>
          </w:p>
          <w:p>
            <w:pPr>
              <w:jc w:val="both"/>
              <w:rPr>
                <w:rFonts w:ascii="Arial" w:eastAsia="Arial" w:hAnsi="Arial" w:cs="Arial"/>
              </w:rPr>
            </w:pPr>
          </w:p>
          <w:p>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9E0B81" w:rsidRDefault="009E0B81">
                            <w:pPr>
                              <w:spacing w:after="0" w:line="240" w:lineRule="auto"/>
                              <w:textDirection w:val="btLr"/>
                            </w:pPr>
                          </w:p>
                        </w:txbxContent>
                      </v:textbox>
                    </v:rect>
                  </w:pict>
                </mc:Fallback>
              </mc:AlternateContent>
            </w:r>
          </w:p>
          <w:p>
            <w:pPr>
              <w:jc w:val="both"/>
              <w:rPr>
                <w:rFonts w:ascii="Arial" w:eastAsia="Arial" w:hAnsi="Arial" w:cs="Arial"/>
              </w:rPr>
            </w:pPr>
          </w:p>
          <w:p>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9E0B81" w:rsidRDefault="009E0B81">
                            <w:pPr>
                              <w:spacing w:after="0" w:line="240" w:lineRule="auto"/>
                              <w:textDirection w:val="btLr"/>
                            </w:pPr>
                          </w:p>
                        </w:txbxContent>
                      </v:textbox>
                    </v:rect>
                  </w:pict>
                </mc:Fallback>
              </mc:AlternateContent>
            </w:r>
          </w:p>
          <w:p>
            <w:pPr>
              <w:jc w:val="both"/>
              <w:rPr>
                <w:rFonts w:ascii="Arial" w:eastAsia="Arial" w:hAnsi="Arial" w:cs="Arial"/>
              </w:rPr>
            </w:pPr>
            <w:r>
              <w:rPr>
                <w:rFonts w:ascii="Arial" w:eastAsia="Arial" w:hAnsi="Arial" w:cs="Arial"/>
              </w:rPr>
              <w:t xml:space="preserve">               Anexo 4</w:t>
            </w:r>
          </w:p>
          <w:p>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9E0B81" w:rsidRDefault="009E0B81">
                            <w:pPr>
                              <w:spacing w:after="0" w:line="240" w:lineRule="auto"/>
                              <w:textDirection w:val="btLr"/>
                            </w:pPr>
                          </w:p>
                        </w:txbxContent>
                      </v:textbox>
                    </v:rect>
                  </w:pict>
                </mc:Fallback>
              </mc:AlternateContent>
            </w:r>
          </w:p>
          <w:p>
            <w:pPr>
              <w:jc w:val="both"/>
              <w:rPr>
                <w:rFonts w:ascii="Arial" w:eastAsia="Arial" w:hAnsi="Arial" w:cs="Arial"/>
              </w:rPr>
            </w:pPr>
            <w:r>
              <w:rPr>
                <w:rFonts w:ascii="Arial" w:eastAsia="Arial" w:hAnsi="Arial" w:cs="Arial"/>
              </w:rPr>
              <w:t xml:space="preserve">               Anexo 1 y 2</w:t>
            </w:r>
          </w:p>
        </w:tc>
      </w:tr>
      <w:tr>
        <w:tc>
          <w:tcPr>
            <w:tcW w:w="5201" w:type="dxa"/>
            <w:shd w:val="clear" w:color="auto" w:fill="auto"/>
          </w:tcPr>
          <w:p>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pPr>
              <w:jc w:val="both"/>
              <w:rPr>
                <w:rFonts w:ascii="Arial" w:eastAsia="Arial" w:hAnsi="Arial" w:cs="Arial"/>
              </w:rPr>
            </w:pPr>
            <w:r>
              <w:rPr>
                <w:rFonts w:ascii="Arial" w:eastAsia="Arial" w:hAnsi="Arial" w:cs="Arial"/>
              </w:rPr>
              <w:t>7 días (recortada)</w:t>
            </w:r>
          </w:p>
        </w:tc>
      </w:tr>
      <w:tr>
        <w:tc>
          <w:tcPr>
            <w:tcW w:w="5201" w:type="dxa"/>
            <w:shd w:val="clear" w:color="auto" w:fill="auto"/>
          </w:tcPr>
          <w:p>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pPr>
              <w:jc w:val="both"/>
              <w:rPr>
                <w:rFonts w:ascii="Arial" w:eastAsia="Arial" w:hAnsi="Arial" w:cs="Arial"/>
              </w:rPr>
            </w:pPr>
            <w:r>
              <w:rPr>
                <w:rFonts w:ascii="Arial" w:eastAsia="Arial" w:hAnsi="Arial" w:cs="Arial"/>
              </w:rPr>
              <w:t>Independencia 105 Sur, colonia centro en Tlajomulco de Zúñiga, Jalisco.</w:t>
            </w:r>
          </w:p>
        </w:tc>
      </w:tr>
    </w:tbl>
    <w:p>
      <w:pPr>
        <w:spacing w:after="0"/>
        <w:rPr>
          <w:rFonts w:ascii="Arial" w:eastAsia="Arial" w:hAnsi="Arial" w:cs="Arial"/>
        </w:rPr>
      </w:pPr>
    </w:p>
    <w:p>
      <w:pPr>
        <w:spacing w:after="0" w:line="240" w:lineRule="auto"/>
        <w:jc w:val="both"/>
        <w:rPr>
          <w:rFonts w:ascii="Arial" w:eastAsia="Arial" w:hAnsi="Arial" w:cs="Arial"/>
        </w:rPr>
      </w:pPr>
      <w:r>
        <w:rPr>
          <w:rFonts w:ascii="Arial" w:eastAsia="Arial" w:hAnsi="Arial" w:cs="Arial"/>
        </w:rPr>
        <w:t>Para los fines de estas bases, se entiende por:</w:t>
      </w:r>
    </w:p>
    <w:p>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tc>
          <w:tcPr>
            <w:tcW w:w="2158" w:type="dxa"/>
          </w:tcPr>
          <w:p>
            <w:pPr>
              <w:rPr>
                <w:rFonts w:ascii="Arial" w:eastAsia="Arial" w:hAnsi="Arial" w:cs="Arial"/>
              </w:rPr>
            </w:pPr>
            <w:r>
              <w:rPr>
                <w:rFonts w:ascii="Arial" w:eastAsia="Arial" w:hAnsi="Arial" w:cs="Arial"/>
                <w:b/>
              </w:rPr>
              <w:t>“CONVOCANTE”</w:t>
            </w:r>
          </w:p>
        </w:tc>
        <w:tc>
          <w:tcPr>
            <w:tcW w:w="7985" w:type="dxa"/>
          </w:tcPr>
          <w:p>
            <w:pPr>
              <w:rPr>
                <w:rFonts w:ascii="Arial" w:eastAsia="Arial" w:hAnsi="Arial" w:cs="Arial"/>
              </w:rPr>
            </w:pPr>
            <w:r>
              <w:rPr>
                <w:rFonts w:ascii="Arial" w:eastAsia="Arial" w:hAnsi="Arial" w:cs="Arial"/>
              </w:rPr>
              <w:t>Instituto de Alternativas para los Jóvenes del Municipio de Tlajomulco de Zúñiga, Jalisco. (INDAJO</w:t>
            </w:r>
          </w:p>
        </w:tc>
      </w:tr>
      <w:tr>
        <w:tc>
          <w:tcPr>
            <w:tcW w:w="2158" w:type="dxa"/>
          </w:tcPr>
          <w:p>
            <w:pPr>
              <w:rPr>
                <w:rFonts w:ascii="Arial" w:eastAsia="Arial" w:hAnsi="Arial" w:cs="Arial"/>
              </w:rPr>
            </w:pPr>
            <w:r>
              <w:rPr>
                <w:rFonts w:ascii="Arial" w:eastAsia="Arial" w:hAnsi="Arial" w:cs="Arial"/>
                <w:b/>
              </w:rPr>
              <w:t>“DOMICILIO”</w:t>
            </w:r>
          </w:p>
        </w:tc>
        <w:tc>
          <w:tcPr>
            <w:tcW w:w="7985" w:type="dxa"/>
          </w:tcPr>
          <w:p>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tc>
          <w:tcPr>
            <w:tcW w:w="2158" w:type="dxa"/>
          </w:tcPr>
          <w:p>
            <w:pPr>
              <w:rPr>
                <w:rFonts w:ascii="Arial" w:eastAsia="Arial" w:hAnsi="Arial" w:cs="Arial"/>
                <w:b/>
              </w:rPr>
            </w:pPr>
            <w:r>
              <w:rPr>
                <w:rFonts w:ascii="Arial" w:eastAsia="Arial" w:hAnsi="Arial" w:cs="Arial"/>
                <w:b/>
              </w:rPr>
              <w:t>“COMITÉ”</w:t>
            </w:r>
          </w:p>
        </w:tc>
        <w:tc>
          <w:tcPr>
            <w:tcW w:w="7985" w:type="dxa"/>
          </w:tcPr>
          <w:p>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tc>
          <w:tcPr>
            <w:tcW w:w="2158" w:type="dxa"/>
          </w:tcPr>
          <w:p>
            <w:pPr>
              <w:rPr>
                <w:rFonts w:ascii="Arial" w:eastAsia="Arial" w:hAnsi="Arial" w:cs="Arial"/>
                <w:b/>
              </w:rPr>
            </w:pPr>
            <w:r>
              <w:rPr>
                <w:rFonts w:ascii="Arial" w:eastAsia="Arial" w:hAnsi="Arial" w:cs="Arial"/>
                <w:b/>
              </w:rPr>
              <w:lastRenderedPageBreak/>
              <w:t>“UNIDAD CENTRALIZADA DE COMPRAS”</w:t>
            </w:r>
          </w:p>
        </w:tc>
        <w:tc>
          <w:tcPr>
            <w:tcW w:w="7985" w:type="dxa"/>
          </w:tcPr>
          <w:p>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tc>
          <w:tcPr>
            <w:tcW w:w="2158" w:type="dxa"/>
          </w:tcPr>
          <w:p>
            <w:pPr>
              <w:rPr>
                <w:rFonts w:ascii="Arial" w:eastAsia="Arial" w:hAnsi="Arial" w:cs="Arial"/>
                <w:b/>
              </w:rPr>
            </w:pPr>
            <w:r>
              <w:rPr>
                <w:rFonts w:ascii="Arial" w:eastAsia="Arial" w:hAnsi="Arial" w:cs="Arial"/>
                <w:b/>
              </w:rPr>
              <w:t>“LEY”</w:t>
            </w:r>
          </w:p>
        </w:tc>
        <w:tc>
          <w:tcPr>
            <w:tcW w:w="7985" w:type="dxa"/>
          </w:tcPr>
          <w:p>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tc>
          <w:tcPr>
            <w:tcW w:w="2158" w:type="dxa"/>
          </w:tcPr>
          <w:p>
            <w:pPr>
              <w:rPr>
                <w:rFonts w:ascii="Arial" w:eastAsia="Arial" w:hAnsi="Arial" w:cs="Arial"/>
                <w:b/>
              </w:rPr>
            </w:pPr>
            <w:r>
              <w:rPr>
                <w:rFonts w:ascii="Arial" w:eastAsia="Arial" w:hAnsi="Arial" w:cs="Arial"/>
                <w:b/>
              </w:rPr>
              <w:t xml:space="preserve">“LICITANTE” </w:t>
            </w:r>
          </w:p>
        </w:tc>
        <w:tc>
          <w:tcPr>
            <w:tcW w:w="7985" w:type="dxa"/>
          </w:tcPr>
          <w:p>
            <w:pPr>
              <w:jc w:val="both"/>
              <w:rPr>
                <w:rFonts w:ascii="Arial" w:eastAsia="Arial" w:hAnsi="Arial" w:cs="Arial"/>
              </w:rPr>
            </w:pPr>
            <w:r>
              <w:rPr>
                <w:rFonts w:ascii="Arial" w:eastAsia="Arial" w:hAnsi="Arial" w:cs="Arial"/>
              </w:rPr>
              <w:t>Persona Física o Moral (Razón Social) participante en el  proceso de licitación.</w:t>
            </w:r>
          </w:p>
        </w:tc>
      </w:tr>
      <w:tr>
        <w:tc>
          <w:tcPr>
            <w:tcW w:w="2158" w:type="dxa"/>
          </w:tcPr>
          <w:p>
            <w:pPr>
              <w:rPr>
                <w:rFonts w:ascii="Arial" w:eastAsia="Arial" w:hAnsi="Arial" w:cs="Arial"/>
                <w:b/>
              </w:rPr>
            </w:pPr>
            <w:r>
              <w:rPr>
                <w:rFonts w:ascii="Arial" w:eastAsia="Arial" w:hAnsi="Arial" w:cs="Arial"/>
                <w:b/>
              </w:rPr>
              <w:t>“REGLAMENTO”</w:t>
            </w:r>
          </w:p>
        </w:tc>
        <w:tc>
          <w:tcPr>
            <w:tcW w:w="7985" w:type="dxa"/>
          </w:tcPr>
          <w:p>
            <w:pPr>
              <w:jc w:val="both"/>
              <w:rPr>
                <w:rFonts w:ascii="Arial" w:eastAsia="Arial" w:hAnsi="Arial" w:cs="Arial"/>
              </w:rPr>
            </w:pPr>
            <w:r>
              <w:rPr>
                <w:rFonts w:ascii="Arial" w:eastAsia="Arial" w:hAnsi="Arial" w:cs="Arial"/>
              </w:rPr>
              <w:t>Reglamento de Adquisiciones para el Municipio de Tlajomulco de Zúñiga, Jalisco</w:t>
            </w:r>
          </w:p>
        </w:tc>
      </w:tr>
      <w:tr>
        <w:tc>
          <w:tcPr>
            <w:tcW w:w="2158" w:type="dxa"/>
          </w:tcPr>
          <w:p>
            <w:pPr>
              <w:rPr>
                <w:rFonts w:ascii="Arial" w:eastAsia="Arial" w:hAnsi="Arial" w:cs="Arial"/>
                <w:b/>
              </w:rPr>
            </w:pPr>
            <w:r>
              <w:rPr>
                <w:rFonts w:ascii="Arial" w:eastAsia="Arial" w:hAnsi="Arial" w:cs="Arial"/>
                <w:b/>
              </w:rPr>
              <w:t>“PROVEEDOR”</w:t>
            </w:r>
          </w:p>
        </w:tc>
        <w:tc>
          <w:tcPr>
            <w:tcW w:w="7985" w:type="dxa"/>
          </w:tcPr>
          <w:p>
            <w:pPr>
              <w:jc w:val="both"/>
              <w:rPr>
                <w:rFonts w:ascii="Arial" w:eastAsia="Arial" w:hAnsi="Arial" w:cs="Arial"/>
              </w:rPr>
            </w:pPr>
            <w:r>
              <w:rPr>
                <w:rFonts w:ascii="Arial" w:eastAsia="Arial" w:hAnsi="Arial" w:cs="Arial"/>
              </w:rPr>
              <w:t>Licitante Adjudicado.</w:t>
            </w:r>
          </w:p>
        </w:tc>
      </w:tr>
      <w:tr>
        <w:trPr>
          <w:trHeight w:val="633"/>
        </w:trPr>
        <w:tc>
          <w:tcPr>
            <w:tcW w:w="2158" w:type="dxa"/>
          </w:tcPr>
          <w:p>
            <w:pPr>
              <w:rPr>
                <w:rFonts w:ascii="Arial" w:eastAsia="Arial" w:hAnsi="Arial" w:cs="Arial"/>
                <w:b/>
              </w:rPr>
            </w:pPr>
            <w:r>
              <w:rPr>
                <w:rFonts w:ascii="Arial" w:eastAsia="Arial" w:hAnsi="Arial" w:cs="Arial"/>
                <w:b/>
              </w:rPr>
              <w:t>“PROCESO”</w:t>
            </w:r>
          </w:p>
        </w:tc>
        <w:tc>
          <w:tcPr>
            <w:tcW w:w="7985" w:type="dxa"/>
          </w:tcPr>
          <w:p>
            <w:pPr>
              <w:tabs>
                <w:tab w:val="center" w:pos="4419"/>
                <w:tab w:val="right" w:pos="8838"/>
              </w:tabs>
              <w:jc w:val="both"/>
              <w:rPr>
                <w:rFonts w:ascii="Arial" w:eastAsia="Arial" w:hAnsi="Arial" w:cs="Arial"/>
                <w:b/>
              </w:rPr>
            </w:pPr>
            <w:r>
              <w:rPr>
                <w:rFonts w:ascii="Arial" w:eastAsia="Arial" w:hAnsi="Arial" w:cs="Arial"/>
                <w:b/>
              </w:rPr>
              <w:t>INDAJO-018/2023 “MURALIZACIÓN DE ENTRADAS A LA CIUDAD E INTERVENCIONES ARTÍSTICAS EN EL MUNICIPIO DE TLAJOMULCO DE ZÚÑIGA, JALISCO”.</w:t>
            </w:r>
          </w:p>
        </w:tc>
      </w:tr>
    </w:tbl>
    <w:p>
      <w:pPr>
        <w:spacing w:after="0"/>
        <w:rPr>
          <w:rFonts w:ascii="Arial" w:eastAsia="Arial" w:hAnsi="Arial" w:cs="Arial"/>
          <w:b/>
        </w:rPr>
      </w:pPr>
    </w:p>
    <w:p>
      <w:pPr>
        <w:spacing w:after="0"/>
        <w:jc w:val="center"/>
        <w:rPr>
          <w:rFonts w:ascii="Arial" w:eastAsia="Arial" w:hAnsi="Arial" w:cs="Arial"/>
          <w:b/>
        </w:rPr>
      </w:pPr>
      <w:r>
        <w:rPr>
          <w:rFonts w:ascii="Arial" w:eastAsia="Arial" w:hAnsi="Arial" w:cs="Arial"/>
          <w:b/>
        </w:rPr>
        <w:t>B  A  S  E  S</w:t>
      </w:r>
    </w:p>
    <w:p>
      <w:pPr>
        <w:spacing w:after="0"/>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1.- ESPECIFICACIONES</w:t>
      </w:r>
    </w:p>
    <w:p>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pPr>
        <w:spacing w:after="0" w:line="240" w:lineRule="auto"/>
        <w:jc w:val="both"/>
        <w:rPr>
          <w:rFonts w:ascii="Arial" w:eastAsia="Arial" w:hAnsi="Arial" w:cs="Arial"/>
          <w:b/>
        </w:rPr>
      </w:pPr>
    </w:p>
    <w:p>
      <w:pPr>
        <w:spacing w:after="0" w:line="240" w:lineRule="auto"/>
        <w:jc w:val="both"/>
        <w:rPr>
          <w:rFonts w:ascii="Arial" w:eastAsia="Arial" w:hAnsi="Arial" w:cs="Arial"/>
        </w:rPr>
      </w:pPr>
      <w:r>
        <w:rPr>
          <w:rFonts w:ascii="Arial" w:eastAsia="Arial" w:hAnsi="Arial" w:cs="Arial"/>
        </w:rPr>
        <w:t>Información con</w:t>
      </w:r>
    </w:p>
    <w:p>
      <w:pPr>
        <w:spacing w:after="0"/>
        <w:ind w:right="200"/>
        <w:jc w:val="both"/>
        <w:rPr>
          <w:rFonts w:ascii="Arial" w:eastAsia="Arial" w:hAnsi="Arial" w:cs="Arial"/>
        </w:rPr>
      </w:pPr>
      <w:r>
        <w:rPr>
          <w:rFonts w:ascii="Arial" w:eastAsia="Arial" w:hAnsi="Arial" w:cs="Arial"/>
          <w:sz w:val="24"/>
          <w:szCs w:val="24"/>
        </w:rPr>
        <w:t>Estefanía del Rosario Dávalos Valdez</w:t>
      </w:r>
    </w:p>
    <w:p>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pPr>
        <w:spacing w:after="0" w:line="240" w:lineRule="auto"/>
        <w:ind w:right="196"/>
        <w:jc w:val="both"/>
        <w:rPr>
          <w:rFonts w:ascii="Arial" w:eastAsia="Arial" w:hAnsi="Arial" w:cs="Arial"/>
          <w:sz w:val="24"/>
          <w:szCs w:val="24"/>
          <w:u w:val="single"/>
        </w:rPr>
      </w:pPr>
      <w:r>
        <w:rPr>
          <w:rFonts w:ascii="Arial" w:eastAsia="Arial" w:hAnsi="Arial" w:cs="Arial"/>
          <w:sz w:val="24"/>
          <w:szCs w:val="24"/>
          <w:u w:val="single"/>
        </w:rPr>
        <w:t>indajo.tlajomulco@gmail.com</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lastRenderedPageBreak/>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pPr>
        <w:spacing w:after="0" w:line="240" w:lineRule="auto"/>
        <w:jc w:val="both"/>
        <w:rPr>
          <w:rFonts w:ascii="Arial" w:eastAsia="Arial" w:hAnsi="Arial" w:cs="Arial"/>
          <w:b/>
        </w:rPr>
      </w:pPr>
    </w:p>
    <w:p>
      <w:pPr>
        <w:spacing w:after="0"/>
        <w:jc w:val="both"/>
        <w:rPr>
          <w:rFonts w:ascii="Arial" w:eastAsia="Arial" w:hAnsi="Arial" w:cs="Arial"/>
          <w:b/>
        </w:rPr>
      </w:pPr>
      <w:r>
        <w:rPr>
          <w:rFonts w:ascii="Arial" w:eastAsia="Arial" w:hAnsi="Arial" w:cs="Arial"/>
          <w:b/>
        </w:rPr>
        <w:t>3.- PUNTUALIDAD</w:t>
      </w:r>
    </w:p>
    <w:p>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4.- FECHA, LUGAR Y CONDICIONES DE ENTREGA</w:t>
      </w:r>
    </w:p>
    <w:p>
      <w:pPr>
        <w:spacing w:after="0" w:line="240" w:lineRule="auto"/>
        <w:jc w:val="both"/>
        <w:rPr>
          <w:rFonts w:ascii="Arial" w:eastAsia="Arial" w:hAnsi="Arial" w:cs="Arial"/>
        </w:rPr>
      </w:pPr>
      <w:r>
        <w:rPr>
          <w:rFonts w:ascii="Arial" w:eastAsia="Arial" w:hAnsi="Arial" w:cs="Arial"/>
        </w:rPr>
        <w:t>Los servicios, insumos y herramientas menores objeto de la presente Licitación deberán realizarse y entregarse una vez notificado el cronograma de intervenciones artísticas del cual se desprende el servicio de arrendamiento de maquinaria, insumos y herramientas menores por intervención, mismos que serán recibidos previa inspección del área requirente o quien designe ésta.</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Cuando se realice la entrega de bienes y servicios derivados del cronograma antes mencionado serán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pPr>
        <w:spacing w:after="0" w:line="240" w:lineRule="auto"/>
        <w:jc w:val="both"/>
        <w:rPr>
          <w:rFonts w:ascii="Arial" w:eastAsia="Arial" w:hAnsi="Arial" w:cs="Arial"/>
          <w:b/>
        </w:rPr>
      </w:pPr>
    </w:p>
    <w:p>
      <w:pPr>
        <w:spacing w:after="0"/>
        <w:jc w:val="both"/>
        <w:rPr>
          <w:rFonts w:ascii="Arial" w:eastAsia="Arial" w:hAnsi="Arial" w:cs="Arial"/>
          <w:b/>
        </w:rPr>
      </w:pPr>
      <w:r>
        <w:rPr>
          <w:rFonts w:ascii="Arial" w:eastAsia="Arial" w:hAnsi="Arial" w:cs="Arial"/>
          <w:b/>
        </w:rPr>
        <w:t>5.- FORMA DE PAGO</w:t>
      </w:r>
    </w:p>
    <w:p>
      <w:pPr>
        <w:spacing w:after="0" w:line="240" w:lineRule="auto"/>
        <w:jc w:val="both"/>
        <w:rPr>
          <w:rFonts w:ascii="Arial" w:eastAsia="Arial" w:hAnsi="Arial" w:cs="Arial"/>
        </w:rPr>
      </w:pPr>
      <w:r>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los pagos correspondientes se realizaran por intervención artística terminada en relación al cronograma asignado y el pago de estos dentro 15 días hábiles posteriores a la entrega de la factura correspondiente previa validación del área requirente, por transferencia bancaria. La factura se entregará en las oficinas de la Dirección solicitante.</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pPr>
        <w:spacing w:after="0" w:line="240" w:lineRule="auto"/>
        <w:jc w:val="both"/>
        <w:rPr>
          <w:rFonts w:ascii="Arial" w:eastAsia="Arial" w:hAnsi="Arial" w:cs="Arial"/>
        </w:rPr>
      </w:pPr>
      <w:r>
        <w:rPr>
          <w:rFonts w:ascii="Arial" w:eastAsia="Arial" w:hAnsi="Arial" w:cs="Arial"/>
        </w:rPr>
        <w:tab/>
      </w:r>
    </w:p>
    <w:p>
      <w:pPr>
        <w:numPr>
          <w:ilvl w:val="0"/>
          <w:numId w:val="3"/>
        </w:numPr>
        <w:spacing w:after="0" w:line="240" w:lineRule="auto"/>
        <w:ind w:left="708"/>
        <w:jc w:val="both"/>
        <w:rPr>
          <w:rFonts w:ascii="Arial" w:eastAsia="Arial" w:hAnsi="Arial" w:cs="Arial"/>
        </w:rPr>
      </w:pPr>
      <w:bookmarkStart w:id="14" w:name="bookmark=id.1ksv4uv" w:colFirst="0" w:colLast="0"/>
      <w:bookmarkStart w:id="15" w:name="bookmark=id.35nkun2" w:colFirst="0" w:colLast="0"/>
      <w:bookmarkStart w:id="16" w:name="bookmark=id.lnxbz9" w:colFirst="0" w:colLast="0"/>
      <w:bookmarkEnd w:id="14"/>
      <w:bookmarkEnd w:id="15"/>
      <w:bookmarkEnd w:id="16"/>
      <w:r>
        <w:rPr>
          <w:rFonts w:ascii="Arial" w:eastAsia="Arial" w:hAnsi="Arial" w:cs="Arial"/>
        </w:rPr>
        <w:t>Instituto de Alternativas para los Jóvenes del Municipio de Tlajomulco de Zúñiga, Jalisco.</w:t>
      </w:r>
    </w:p>
    <w:p>
      <w:pPr>
        <w:numPr>
          <w:ilvl w:val="0"/>
          <w:numId w:val="3"/>
        </w:numPr>
        <w:spacing w:after="0" w:line="240" w:lineRule="auto"/>
        <w:ind w:left="708"/>
        <w:jc w:val="both"/>
        <w:rPr>
          <w:rFonts w:ascii="Arial" w:eastAsia="Arial" w:hAnsi="Arial" w:cs="Arial"/>
        </w:rPr>
      </w:pPr>
      <w:r>
        <w:rPr>
          <w:rFonts w:ascii="Arial" w:eastAsia="Arial" w:hAnsi="Arial" w:cs="Arial"/>
        </w:rPr>
        <w:lastRenderedPageBreak/>
        <w:t>Domicilio: Calle Constitución Oriente, número 157 Int. C. C.P. 45640 en la Cabecera Municipal  de Tlajomulco de Zúñiga, Jalisco.</w:t>
      </w:r>
    </w:p>
    <w:p>
      <w:pPr>
        <w:numPr>
          <w:ilvl w:val="0"/>
          <w:numId w:val="3"/>
        </w:numPr>
        <w:spacing w:after="0" w:line="240" w:lineRule="auto"/>
        <w:ind w:left="708"/>
        <w:jc w:val="both"/>
        <w:rPr>
          <w:rFonts w:ascii="Arial" w:eastAsia="Arial" w:hAnsi="Arial" w:cs="Arial"/>
        </w:rPr>
      </w:pPr>
      <w:r>
        <w:rPr>
          <w:rFonts w:ascii="Arial" w:eastAsia="Arial" w:hAnsi="Arial" w:cs="Arial"/>
        </w:rPr>
        <w:t>Col. Centro</w:t>
      </w:r>
    </w:p>
    <w:p>
      <w:pPr>
        <w:numPr>
          <w:ilvl w:val="0"/>
          <w:numId w:val="3"/>
        </w:numPr>
        <w:spacing w:after="0" w:line="240" w:lineRule="auto"/>
        <w:ind w:left="708"/>
        <w:jc w:val="both"/>
        <w:rPr>
          <w:rFonts w:ascii="Arial" w:eastAsia="Arial" w:hAnsi="Arial" w:cs="Arial"/>
        </w:rPr>
      </w:pPr>
      <w:r>
        <w:rPr>
          <w:rFonts w:ascii="Arial" w:eastAsia="Arial" w:hAnsi="Arial" w:cs="Arial"/>
        </w:rPr>
        <w:t>C.P. 45640</w:t>
      </w:r>
    </w:p>
    <w:p>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pPr>
        <w:spacing w:after="0" w:line="240" w:lineRule="auto"/>
        <w:ind w:left="708"/>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6.- GARANTÍA PARA EL CUMPLIMIENTO DE LA OFERTA, DEL CONTRATO Y ANTICIPOS.</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6.1 SERIEDAD DE LA OFERTA</w:t>
      </w:r>
    </w:p>
    <w:p>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pPr>
        <w:spacing w:after="0"/>
        <w:jc w:val="both"/>
        <w:rPr>
          <w:rFonts w:ascii="Arial" w:eastAsia="Arial" w:hAnsi="Arial" w:cs="Arial"/>
        </w:rPr>
      </w:pPr>
    </w:p>
    <w:p>
      <w:pPr>
        <w:spacing w:after="0"/>
        <w:jc w:val="both"/>
        <w:rPr>
          <w:rFonts w:ascii="Arial" w:eastAsia="Arial" w:hAnsi="Arial" w:cs="Arial"/>
          <w:b/>
        </w:rPr>
      </w:pPr>
      <w:r>
        <w:rPr>
          <w:rFonts w:ascii="Arial" w:eastAsia="Arial" w:hAnsi="Arial" w:cs="Arial"/>
          <w:b/>
        </w:rPr>
        <w:t>6.2 CUMPLIMIENTO DE CONTRATO O PEDIDO (ORDEN DE COMPRA).</w:t>
      </w:r>
    </w:p>
    <w:p>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El importe de la garantía será del 10% (diez por ciento).</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pPr>
        <w:spacing w:after="0"/>
        <w:jc w:val="both"/>
        <w:rPr>
          <w:rFonts w:ascii="Arial" w:eastAsia="Arial" w:hAnsi="Arial" w:cs="Arial"/>
        </w:rPr>
      </w:pPr>
    </w:p>
    <w:p>
      <w:pPr>
        <w:spacing w:after="0"/>
        <w:jc w:val="both"/>
        <w:rPr>
          <w:rFonts w:ascii="Arial" w:eastAsia="Arial" w:hAnsi="Arial" w:cs="Arial"/>
          <w:b/>
        </w:rPr>
      </w:pPr>
      <w:r>
        <w:rPr>
          <w:rFonts w:ascii="Arial" w:eastAsia="Arial" w:hAnsi="Arial" w:cs="Arial"/>
          <w:b/>
        </w:rPr>
        <w:t>6.3 ANTICIPO</w:t>
      </w:r>
    </w:p>
    <w:p>
      <w:pPr>
        <w:spacing w:after="0"/>
        <w:jc w:val="both"/>
        <w:rPr>
          <w:rFonts w:ascii="Arial" w:eastAsia="Arial" w:hAnsi="Arial" w:cs="Arial"/>
          <w:b/>
        </w:rPr>
      </w:pPr>
      <w:r>
        <w:rPr>
          <w:rFonts w:ascii="Arial" w:eastAsia="Arial" w:hAnsi="Arial" w:cs="Arial"/>
        </w:rPr>
        <w:t>En la presente licitación no habrá anticipo.</w:t>
      </w:r>
    </w:p>
    <w:p>
      <w:pPr>
        <w:spacing w:after="0"/>
        <w:jc w:val="both"/>
        <w:rPr>
          <w:rFonts w:ascii="Arial" w:eastAsia="Arial" w:hAnsi="Arial" w:cs="Arial"/>
          <w:b/>
        </w:rPr>
      </w:pP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7.- JUNTA DE ACLARACIONES</w:t>
      </w:r>
    </w:p>
    <w:p>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8">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pPr>
        <w:spacing w:after="0" w:line="240" w:lineRule="auto"/>
        <w:jc w:val="both"/>
        <w:rPr>
          <w:rFonts w:ascii="Arial" w:eastAsia="Arial" w:hAnsi="Arial" w:cs="Arial"/>
          <w:b/>
        </w:rPr>
      </w:pPr>
    </w:p>
    <w:p>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pPr>
        <w:spacing w:after="0" w:line="240" w:lineRule="auto"/>
        <w:jc w:val="both"/>
        <w:rPr>
          <w:rFonts w:ascii="Arial" w:eastAsia="Arial" w:hAnsi="Arial" w:cs="Arial"/>
          <w:b/>
        </w:rPr>
      </w:pPr>
    </w:p>
    <w:p>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w:t>
      </w:r>
      <w:r>
        <w:rPr>
          <w:rFonts w:ascii="Arial" w:eastAsia="Arial" w:hAnsi="Arial" w:cs="Arial"/>
        </w:rPr>
        <w:lastRenderedPageBreak/>
        <w:t>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pPr>
        <w:spacing w:after="0" w:line="240" w:lineRule="auto"/>
        <w:ind w:left="851"/>
        <w:jc w:val="both"/>
        <w:rPr>
          <w:rFonts w:ascii="Arial" w:eastAsia="Arial" w:hAnsi="Arial" w:cs="Arial"/>
        </w:rPr>
      </w:pPr>
    </w:p>
    <w:p>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pPr>
        <w:spacing w:after="0" w:line="240" w:lineRule="auto"/>
        <w:ind w:left="851"/>
        <w:jc w:val="both"/>
        <w:rPr>
          <w:rFonts w:ascii="Arial" w:eastAsia="Arial" w:hAnsi="Arial" w:cs="Arial"/>
        </w:rPr>
      </w:pPr>
    </w:p>
    <w:p>
      <w:pPr>
        <w:spacing w:after="0" w:line="240" w:lineRule="auto"/>
        <w:ind w:left="851"/>
        <w:jc w:val="both"/>
        <w:rPr>
          <w:rFonts w:ascii="Arial" w:eastAsia="Arial" w:hAnsi="Arial" w:cs="Arial"/>
        </w:rPr>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p>
    <w:p>
      <w:pPr>
        <w:spacing w:after="0" w:line="240" w:lineRule="auto"/>
        <w:jc w:val="both"/>
        <w:rPr>
          <w:rFonts w:ascii="Arial" w:eastAsia="Arial" w:hAnsi="Arial" w:cs="Arial"/>
        </w:rPr>
      </w:pPr>
    </w:p>
    <w:p>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pPr>
        <w:spacing w:after="0" w:line="240" w:lineRule="auto"/>
        <w:jc w:val="both"/>
        <w:rPr>
          <w:rFonts w:ascii="Arial" w:eastAsia="Arial" w:hAnsi="Arial" w:cs="Arial"/>
        </w:rPr>
      </w:pPr>
    </w:p>
    <w:p>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pPr>
        <w:spacing w:after="0" w:line="240" w:lineRule="auto"/>
        <w:ind w:left="1068"/>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NOTA. La cotización deberá incluir todos los costos involucrados.</w:t>
      </w:r>
    </w:p>
    <w:p>
      <w:pPr>
        <w:spacing w:after="0" w:line="240" w:lineRule="auto"/>
        <w:jc w:val="both"/>
        <w:rPr>
          <w:rFonts w:ascii="Arial" w:eastAsia="Arial" w:hAnsi="Arial" w:cs="Arial"/>
        </w:rPr>
      </w:pPr>
    </w:p>
    <w:p>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pPr>
        <w:spacing w:after="0" w:line="240" w:lineRule="auto"/>
        <w:ind w:left="786"/>
        <w:jc w:val="both"/>
        <w:rPr>
          <w:rFonts w:ascii="Arial" w:eastAsia="Arial" w:hAnsi="Arial" w:cs="Arial"/>
        </w:rPr>
      </w:pPr>
    </w:p>
    <w:p>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pPr>
        <w:widowControl w:val="0"/>
        <w:spacing w:after="0" w:line="240" w:lineRule="auto"/>
        <w:ind w:left="786"/>
        <w:jc w:val="both"/>
        <w:rPr>
          <w:rFonts w:ascii="Arial" w:eastAsia="Arial" w:hAnsi="Arial" w:cs="Arial"/>
        </w:rPr>
      </w:pPr>
    </w:p>
    <w:p>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w:t>
      </w:r>
      <w:r>
        <w:rPr>
          <w:rFonts w:ascii="Arial" w:eastAsia="Arial" w:hAnsi="Arial" w:cs="Arial"/>
        </w:rPr>
        <w:lastRenderedPageBreak/>
        <w:t>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pPr>
        <w:widowControl w:val="0"/>
        <w:spacing w:after="0" w:line="240" w:lineRule="auto"/>
        <w:ind w:left="786"/>
        <w:jc w:val="both"/>
        <w:rPr>
          <w:rFonts w:ascii="Arial" w:eastAsia="Arial" w:hAnsi="Arial" w:cs="Arial"/>
        </w:rPr>
      </w:pPr>
    </w:p>
    <w:p>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pPr>
        <w:tabs>
          <w:tab w:val="left" w:pos="4350"/>
        </w:tabs>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pPr>
        <w:spacing w:after="0" w:line="240" w:lineRule="auto"/>
        <w:jc w:val="both"/>
        <w:rPr>
          <w:rFonts w:ascii="Arial" w:eastAsia="Arial" w:hAnsi="Arial" w:cs="Arial"/>
        </w:rPr>
      </w:pPr>
    </w:p>
    <w:p>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pPr>
        <w:spacing w:after="0" w:line="240" w:lineRule="auto"/>
        <w:jc w:val="both"/>
        <w:rPr>
          <w:rFonts w:ascii="Arial" w:eastAsia="Arial" w:hAnsi="Arial" w:cs="Arial"/>
          <w:b/>
        </w:rPr>
      </w:pPr>
    </w:p>
    <w:p>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9.- RECEPCIÓN DE PROPUESTAS</w:t>
      </w:r>
    </w:p>
    <w:p>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en el inmueble ubicado Av. López Mateos Sur No. 1710 “E”, salón 01 del Hotel: Microtel Inn &amp; Suites by Wyndham Guadalajara Sur, Colonia Santa Isabel, Tlajomulco de Zúñiga, Jalisco. C.P. 45645.</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lastRenderedPageBreak/>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pPr>
        <w:spacing w:after="0" w:line="240" w:lineRule="auto"/>
        <w:rPr>
          <w:rFonts w:ascii="Arial" w:eastAsia="Arial" w:hAnsi="Arial" w:cs="Arial"/>
          <w:b/>
        </w:rPr>
      </w:pPr>
    </w:p>
    <w:p>
      <w:pPr>
        <w:spacing w:after="0" w:line="240" w:lineRule="auto"/>
        <w:rPr>
          <w:rFonts w:ascii="Arial" w:eastAsia="Arial" w:hAnsi="Arial" w:cs="Arial"/>
          <w:b/>
        </w:rPr>
      </w:pPr>
      <w:r>
        <w:rPr>
          <w:rFonts w:ascii="Arial" w:eastAsia="Arial" w:hAnsi="Arial" w:cs="Arial"/>
          <w:b/>
        </w:rPr>
        <w:t>10.- APERTURA DE PROPUESTAS</w:t>
      </w:r>
    </w:p>
    <w:p>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Se llevará a cabo en la fecha y hora descrita en la parte inicial de las presentes bases apartado cronograma  en el inmueble ubicado en el inmueble ubicado en Av. López Mateos Sur No. 1710 “E”, salón 01 del Hotel: Microtel Inn &amp; Suites by Wyndham Guadalajara Sur, Colonia Santa Isabel, Tlajomulco de Zúñiga, Jalisco. C.P. 45645.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pPr>
        <w:spacing w:after="0" w:line="240" w:lineRule="auto"/>
        <w:jc w:val="both"/>
        <w:rPr>
          <w:rFonts w:ascii="Arial" w:eastAsia="Arial" w:hAnsi="Arial" w:cs="Arial"/>
        </w:rPr>
      </w:pPr>
    </w:p>
    <w:p>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pPr>
        <w:spacing w:after="0"/>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 el inmueble ubicado en Av. López Mateos Sur No. 1710 “E”, salón 01 del Hotel: Microtel Inn &amp; Suites by Wyndham Guadalajara Sur, Colonia Santa Isabel, Tlajomulco de Zúñiga, Jalisco. C.P. 45645</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pPr>
        <w:spacing w:after="0" w:line="240" w:lineRule="auto"/>
        <w:jc w:val="both"/>
        <w:rPr>
          <w:rFonts w:ascii="Arial" w:eastAsia="Arial" w:hAnsi="Arial" w:cs="Arial"/>
        </w:rPr>
      </w:pPr>
    </w:p>
    <w:p>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pPr>
        <w:spacing w:after="0" w:line="240" w:lineRule="auto"/>
        <w:jc w:val="both"/>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pPr>
        <w:tabs>
          <w:tab w:val="left" w:pos="10065"/>
        </w:tabs>
        <w:spacing w:after="0" w:line="240" w:lineRule="auto"/>
        <w:jc w:val="both"/>
        <w:rPr>
          <w:rFonts w:ascii="Arial" w:eastAsia="Arial" w:hAnsi="Arial" w:cs="Arial"/>
        </w:rPr>
      </w:pPr>
    </w:p>
    <w:p>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pPr>
        <w:tabs>
          <w:tab w:val="left" w:pos="10065"/>
        </w:tabs>
        <w:spacing w:after="0" w:line="240" w:lineRule="auto"/>
        <w:jc w:val="both"/>
        <w:rPr>
          <w:rFonts w:ascii="Arial" w:eastAsia="Arial" w:hAnsi="Arial" w:cs="Arial"/>
        </w:rPr>
      </w:pPr>
    </w:p>
    <w:p>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pPr>
        <w:spacing w:after="0"/>
        <w:jc w:val="both"/>
        <w:rPr>
          <w:rFonts w:ascii="Arial" w:eastAsia="Arial" w:hAnsi="Arial" w:cs="Arial"/>
          <w:b/>
        </w:rPr>
      </w:pPr>
    </w:p>
    <w:p>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pPr>
        <w:numPr>
          <w:ilvl w:val="0"/>
          <w:numId w:val="9"/>
        </w:numPr>
        <w:spacing w:after="0" w:line="240" w:lineRule="auto"/>
        <w:jc w:val="both"/>
        <w:rPr>
          <w:rFonts w:ascii="Arial" w:eastAsia="Arial" w:hAnsi="Arial" w:cs="Arial"/>
        </w:rPr>
      </w:pPr>
      <w:r>
        <w:rPr>
          <w:rFonts w:ascii="Arial" w:eastAsia="Arial" w:hAnsi="Arial" w:cs="Arial"/>
        </w:rPr>
        <w:t>Precio conveniente.</w:t>
      </w:r>
    </w:p>
    <w:p>
      <w:pPr>
        <w:numPr>
          <w:ilvl w:val="0"/>
          <w:numId w:val="9"/>
        </w:numPr>
        <w:spacing w:after="0" w:line="240" w:lineRule="auto"/>
        <w:jc w:val="both"/>
        <w:rPr>
          <w:rFonts w:ascii="Arial" w:eastAsia="Arial" w:hAnsi="Arial" w:cs="Arial"/>
        </w:rPr>
      </w:pPr>
      <w:r>
        <w:rPr>
          <w:rFonts w:ascii="Arial" w:eastAsia="Arial" w:hAnsi="Arial" w:cs="Arial"/>
        </w:rPr>
        <w:t>Tiempo de entrega.</w:t>
      </w:r>
    </w:p>
    <w:p>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pPr>
        <w:numPr>
          <w:ilvl w:val="0"/>
          <w:numId w:val="9"/>
        </w:numPr>
        <w:spacing w:after="0" w:line="240" w:lineRule="auto"/>
        <w:jc w:val="both"/>
        <w:rPr>
          <w:rFonts w:ascii="Arial" w:eastAsia="Arial" w:hAnsi="Arial" w:cs="Arial"/>
        </w:rPr>
      </w:pPr>
      <w:r>
        <w:rPr>
          <w:rFonts w:ascii="Arial" w:eastAsia="Arial" w:hAnsi="Arial" w:cs="Arial"/>
        </w:rPr>
        <w:t>Condiciones de Oferta.</w:t>
      </w:r>
    </w:p>
    <w:p>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pPr>
        <w:spacing w:after="0"/>
        <w:jc w:val="both"/>
        <w:rPr>
          <w:rFonts w:ascii="Arial" w:eastAsia="Arial" w:hAnsi="Arial" w:cs="Arial"/>
        </w:rPr>
      </w:pPr>
    </w:p>
    <w:p>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14.- DESCALIFICACIÓN DE LOS LICITANTES</w:t>
      </w:r>
    </w:p>
    <w:p>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pPr>
        <w:spacing w:after="0" w:line="240" w:lineRule="auto"/>
        <w:ind w:left="360"/>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15.- DECLARACIÓN DE LICITACIÓN O PARTIDA DESIERTA</w:t>
      </w:r>
    </w:p>
    <w:p>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pPr>
        <w:spacing w:after="0" w:line="240" w:lineRule="auto"/>
        <w:ind w:left="360"/>
        <w:jc w:val="both"/>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16.- SUSPENSIÓN O CANCELACIÓN DE LA LICITACIÓN</w:t>
      </w:r>
    </w:p>
    <w:p>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pPr>
        <w:spacing w:after="0" w:line="240" w:lineRule="auto"/>
        <w:rPr>
          <w:rFonts w:ascii="Arial" w:eastAsia="Arial" w:hAnsi="Arial" w:cs="Arial"/>
          <w:b/>
        </w:rPr>
      </w:pPr>
    </w:p>
    <w:p>
      <w:pPr>
        <w:spacing w:after="0"/>
        <w:jc w:val="both"/>
        <w:rPr>
          <w:rFonts w:ascii="Arial" w:eastAsia="Arial" w:hAnsi="Arial" w:cs="Arial"/>
          <w:b/>
        </w:rPr>
      </w:pPr>
      <w:r>
        <w:rPr>
          <w:rFonts w:ascii="Arial" w:eastAsia="Arial" w:hAnsi="Arial" w:cs="Arial"/>
          <w:b/>
        </w:rPr>
        <w:t>17.- FIRMA DEL CONTRATO O PEDIDO (ORDEN DE COMPRA)</w:t>
      </w:r>
    </w:p>
    <w:p>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pPr>
        <w:spacing w:after="0" w:line="240" w:lineRule="auto"/>
        <w:ind w:left="360"/>
        <w:jc w:val="both"/>
        <w:rPr>
          <w:rFonts w:ascii="Arial" w:eastAsia="Arial" w:hAnsi="Arial" w:cs="Arial"/>
        </w:rPr>
      </w:pPr>
    </w:p>
    <w:p>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19.- CESIÓN DERECHOS Y OBLIGACIONES</w:t>
      </w:r>
    </w:p>
    <w:p>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pPr>
        <w:spacing w:after="0" w:line="240" w:lineRule="auto"/>
        <w:jc w:val="both"/>
        <w:rPr>
          <w:rFonts w:ascii="Arial" w:eastAsia="Arial" w:hAnsi="Arial" w:cs="Arial"/>
        </w:rPr>
      </w:pPr>
    </w:p>
    <w:p>
      <w:pPr>
        <w:spacing w:after="0"/>
        <w:jc w:val="both"/>
        <w:rPr>
          <w:rFonts w:ascii="Arial" w:eastAsia="Arial" w:hAnsi="Arial" w:cs="Arial"/>
          <w:b/>
        </w:rPr>
      </w:pPr>
      <w:r>
        <w:rPr>
          <w:rFonts w:ascii="Arial" w:eastAsia="Arial" w:hAnsi="Arial" w:cs="Arial"/>
          <w:b/>
        </w:rPr>
        <w:t>20.- PATENTES, MARCAS Y DERECHOS DE AUTOR</w:t>
      </w:r>
    </w:p>
    <w:p>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pPr>
        <w:spacing w:after="0" w:line="240" w:lineRule="auto"/>
        <w:jc w:val="both"/>
        <w:rPr>
          <w:rFonts w:ascii="Arial" w:eastAsia="Arial" w:hAnsi="Arial" w:cs="Arial"/>
          <w:b/>
        </w:rPr>
      </w:pPr>
    </w:p>
    <w:p>
      <w:pPr>
        <w:spacing w:after="0" w:line="240" w:lineRule="auto"/>
        <w:jc w:val="both"/>
        <w:rPr>
          <w:rFonts w:ascii="Arial" w:eastAsia="Arial" w:hAnsi="Arial" w:cs="Arial"/>
          <w:b/>
        </w:rPr>
      </w:pPr>
      <w:r>
        <w:rPr>
          <w:rFonts w:ascii="Arial" w:eastAsia="Arial" w:hAnsi="Arial" w:cs="Arial"/>
          <w:b/>
        </w:rPr>
        <w:t>21.- RELACIONES LABORALES</w:t>
      </w:r>
    </w:p>
    <w:p>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22.- SANCIONES</w:t>
      </w:r>
    </w:p>
    <w:p>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trPr>
          <w:trHeight w:val="489"/>
        </w:trPr>
        <w:tc>
          <w:tcPr>
            <w:tcW w:w="2781" w:type="dxa"/>
            <w:tcBorders>
              <w:bottom w:val="single" w:sz="12" w:space="0" w:color="008000"/>
            </w:tcBorders>
            <w:shd w:val="clear" w:color="auto" w:fill="C0C0C0"/>
            <w:vAlign w:val="center"/>
          </w:tcPr>
          <w:p>
            <w:pPr>
              <w:jc w:val="both"/>
              <w:rPr>
                <w:rFonts w:ascii="Arial" w:eastAsia="Arial" w:hAnsi="Arial" w:cs="Arial"/>
                <w:b/>
              </w:rPr>
            </w:pPr>
            <w:r>
              <w:rPr>
                <w:rFonts w:ascii="Arial" w:eastAsia="Arial" w:hAnsi="Arial" w:cs="Arial"/>
                <w:b/>
              </w:rPr>
              <w:lastRenderedPageBreak/>
              <w:t xml:space="preserve">DÍAS DE ATRASO </w:t>
            </w:r>
          </w:p>
          <w:p>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pPr>
              <w:jc w:val="both"/>
              <w:rPr>
                <w:rFonts w:ascii="Arial" w:eastAsia="Arial" w:hAnsi="Arial" w:cs="Arial"/>
                <w:b/>
              </w:rPr>
            </w:pPr>
            <w:r>
              <w:rPr>
                <w:rFonts w:ascii="Arial" w:eastAsia="Arial" w:hAnsi="Arial" w:cs="Arial"/>
                <w:b/>
              </w:rPr>
              <w:t xml:space="preserve">% DE LA SANCIÓN SOBRE EL MONTO DE LA ADJUDICACIÓN </w:t>
            </w:r>
          </w:p>
        </w:tc>
      </w:tr>
      <w:tr>
        <w:trPr>
          <w:trHeight w:val="69"/>
        </w:trPr>
        <w:tc>
          <w:tcPr>
            <w:tcW w:w="2781" w:type="dxa"/>
            <w:tcBorders>
              <w:top w:val="nil"/>
            </w:tcBorders>
            <w:shd w:val="clear" w:color="auto" w:fill="CCCCCC"/>
          </w:tcPr>
          <w:p>
            <w:pPr>
              <w:jc w:val="both"/>
              <w:rPr>
                <w:rFonts w:ascii="Arial" w:eastAsia="Arial" w:hAnsi="Arial" w:cs="Arial"/>
                <w:b/>
              </w:rPr>
            </w:pPr>
          </w:p>
        </w:tc>
        <w:tc>
          <w:tcPr>
            <w:tcW w:w="2782" w:type="dxa"/>
            <w:tcBorders>
              <w:top w:val="nil"/>
            </w:tcBorders>
            <w:shd w:val="clear" w:color="auto" w:fill="CCCCCC"/>
          </w:tcPr>
          <w:p>
            <w:pPr>
              <w:jc w:val="both"/>
              <w:rPr>
                <w:rFonts w:ascii="Arial" w:eastAsia="Arial" w:hAnsi="Arial" w:cs="Arial"/>
              </w:rPr>
            </w:pPr>
          </w:p>
        </w:tc>
      </w:tr>
      <w:tr>
        <w:trPr>
          <w:trHeight w:val="201"/>
        </w:trPr>
        <w:tc>
          <w:tcPr>
            <w:tcW w:w="2781" w:type="dxa"/>
            <w:shd w:val="clear" w:color="auto" w:fill="FFFFBF"/>
            <w:vAlign w:val="center"/>
          </w:tcPr>
          <w:p>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pPr>
              <w:jc w:val="both"/>
              <w:rPr>
                <w:rFonts w:ascii="Arial" w:eastAsia="Arial" w:hAnsi="Arial" w:cs="Arial"/>
                <w:u w:val="single"/>
              </w:rPr>
            </w:pPr>
            <w:r>
              <w:rPr>
                <w:rFonts w:ascii="Arial" w:eastAsia="Arial" w:hAnsi="Arial" w:cs="Arial"/>
                <w:u w:val="single"/>
              </w:rPr>
              <w:t>3%</w:t>
            </w:r>
          </w:p>
        </w:tc>
      </w:tr>
      <w:tr>
        <w:trPr>
          <w:trHeight w:val="201"/>
        </w:trPr>
        <w:tc>
          <w:tcPr>
            <w:tcW w:w="2781" w:type="dxa"/>
            <w:shd w:val="clear" w:color="auto" w:fill="CCCCCC"/>
            <w:vAlign w:val="center"/>
          </w:tcPr>
          <w:p>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pPr>
              <w:jc w:val="both"/>
              <w:rPr>
                <w:rFonts w:ascii="Arial" w:eastAsia="Arial" w:hAnsi="Arial" w:cs="Arial"/>
                <w:u w:val="single"/>
              </w:rPr>
            </w:pPr>
            <w:r>
              <w:rPr>
                <w:rFonts w:ascii="Arial" w:eastAsia="Arial" w:hAnsi="Arial" w:cs="Arial"/>
                <w:u w:val="single"/>
              </w:rPr>
              <w:t>6%</w:t>
            </w:r>
          </w:p>
        </w:tc>
      </w:tr>
      <w:tr>
        <w:trPr>
          <w:trHeight w:val="201"/>
        </w:trPr>
        <w:tc>
          <w:tcPr>
            <w:tcW w:w="2781" w:type="dxa"/>
            <w:shd w:val="clear" w:color="auto" w:fill="FFFFBF"/>
            <w:vAlign w:val="center"/>
          </w:tcPr>
          <w:p>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pPr>
              <w:jc w:val="both"/>
              <w:rPr>
                <w:rFonts w:ascii="Arial" w:eastAsia="Arial" w:hAnsi="Arial" w:cs="Arial"/>
                <w:u w:val="single"/>
              </w:rPr>
            </w:pPr>
            <w:r>
              <w:rPr>
                <w:rFonts w:ascii="Arial" w:eastAsia="Arial" w:hAnsi="Arial" w:cs="Arial"/>
                <w:u w:val="single"/>
              </w:rPr>
              <w:t>10%</w:t>
            </w:r>
          </w:p>
        </w:tc>
      </w:tr>
      <w:tr>
        <w:trPr>
          <w:cantSplit/>
          <w:trHeight w:val="201"/>
        </w:trPr>
        <w:tc>
          <w:tcPr>
            <w:tcW w:w="5563" w:type="dxa"/>
            <w:gridSpan w:val="2"/>
            <w:shd w:val="clear" w:color="auto" w:fill="CCCCCC"/>
            <w:vAlign w:val="center"/>
          </w:tcPr>
          <w:p>
            <w:pPr>
              <w:jc w:val="both"/>
              <w:rPr>
                <w:rFonts w:ascii="Arial" w:eastAsia="Arial" w:hAnsi="Arial" w:cs="Arial"/>
              </w:rPr>
            </w:pPr>
            <w:r>
              <w:rPr>
                <w:rFonts w:ascii="Arial" w:eastAsia="Arial" w:hAnsi="Arial" w:cs="Arial"/>
                <w:b/>
              </w:rPr>
              <w:t>De 21 en adelante se podrá rescindir el contrato a criterio del CONVOCANTE</w:t>
            </w:r>
          </w:p>
        </w:tc>
      </w:tr>
    </w:tbl>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pPr>
        <w:spacing w:after="0" w:line="240" w:lineRule="auto"/>
        <w:jc w:val="both"/>
        <w:rPr>
          <w:rFonts w:ascii="Arial" w:eastAsia="Arial" w:hAnsi="Arial" w:cs="Arial"/>
          <w:b/>
        </w:rPr>
      </w:pPr>
      <w:r>
        <w:rPr>
          <w:rFonts w:ascii="Arial" w:eastAsia="Arial" w:hAnsi="Arial" w:cs="Arial"/>
          <w:b/>
        </w:rPr>
        <w:t>23.- CUMPLIMIENTO DE OBLIGACIONES FISCALES</w:t>
      </w:r>
    </w:p>
    <w:p>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t>24.- DEFECTOS Y VICIOS OCULTOS</w:t>
      </w:r>
    </w:p>
    <w:p>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pPr>
        <w:spacing w:after="0"/>
        <w:jc w:val="both"/>
        <w:rPr>
          <w:rFonts w:ascii="Arial" w:eastAsia="Arial" w:hAnsi="Arial" w:cs="Arial"/>
          <w:b/>
        </w:rPr>
      </w:pPr>
    </w:p>
    <w:p>
      <w:pPr>
        <w:spacing w:after="0"/>
        <w:jc w:val="both"/>
        <w:rPr>
          <w:rFonts w:ascii="Arial" w:eastAsia="Arial" w:hAnsi="Arial" w:cs="Arial"/>
          <w:b/>
        </w:rPr>
      </w:pPr>
    </w:p>
    <w:p>
      <w:pPr>
        <w:spacing w:after="0"/>
        <w:jc w:val="both"/>
        <w:rPr>
          <w:rFonts w:ascii="Arial" w:eastAsia="Arial" w:hAnsi="Arial" w:cs="Arial"/>
          <w:b/>
        </w:rPr>
      </w:pPr>
      <w:r>
        <w:rPr>
          <w:rFonts w:ascii="Arial" w:eastAsia="Arial" w:hAnsi="Arial" w:cs="Arial"/>
          <w:b/>
        </w:rPr>
        <w:lastRenderedPageBreak/>
        <w:t>25.- INCONFORMIDADES</w:t>
      </w:r>
    </w:p>
    <w:p>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pPr>
        <w:spacing w:after="0" w:line="240" w:lineRule="auto"/>
        <w:jc w:val="both"/>
        <w:rPr>
          <w:rFonts w:ascii="Arial" w:eastAsia="Arial" w:hAnsi="Arial" w:cs="Arial"/>
        </w:rPr>
      </w:pPr>
    </w:p>
    <w:p>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pPr>
        <w:spacing w:after="0" w:line="240" w:lineRule="auto"/>
        <w:jc w:val="both"/>
        <w:rPr>
          <w:rFonts w:ascii="Arial" w:eastAsia="Arial" w:hAnsi="Arial" w:cs="Arial"/>
        </w:rPr>
      </w:pPr>
    </w:p>
    <w:p>
      <w:pPr>
        <w:spacing w:after="0" w:line="240" w:lineRule="auto"/>
        <w:jc w:val="both"/>
        <w:rPr>
          <w:rFonts w:ascii="Arial" w:eastAsia="Arial" w:hAnsi="Arial" w:cs="Arial"/>
        </w:rPr>
      </w:pPr>
    </w:p>
    <w:p>
      <w:pPr>
        <w:spacing w:after="0" w:line="240" w:lineRule="auto"/>
        <w:jc w:val="both"/>
        <w:rPr>
          <w:rFonts w:ascii="Arial" w:eastAsia="Arial" w:hAnsi="Arial" w:cs="Arial"/>
        </w:rPr>
      </w:pPr>
    </w:p>
    <w:p>
      <w:pPr>
        <w:spacing w:after="0" w:line="240" w:lineRule="auto"/>
        <w:jc w:val="both"/>
        <w:rPr>
          <w:rFonts w:ascii="Arial" w:eastAsia="Arial" w:hAnsi="Arial" w:cs="Arial"/>
        </w:rPr>
      </w:pPr>
    </w:p>
    <w:p>
      <w:pPr>
        <w:spacing w:after="0"/>
        <w:jc w:val="center"/>
        <w:rPr>
          <w:rFonts w:ascii="Arial" w:eastAsia="Arial" w:hAnsi="Arial" w:cs="Arial"/>
        </w:rPr>
      </w:pPr>
      <w:r>
        <w:rPr>
          <w:rFonts w:ascii="Arial" w:eastAsia="Arial" w:hAnsi="Arial" w:cs="Arial"/>
        </w:rPr>
        <w:t>A t e n t a m e n t e</w:t>
      </w: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b/>
        </w:rPr>
      </w:pPr>
      <w:r>
        <w:rPr>
          <w:rFonts w:ascii="Arial" w:eastAsia="Arial" w:hAnsi="Arial" w:cs="Arial"/>
          <w:b/>
        </w:rPr>
        <w:t xml:space="preserve">C. DIANA LAURA PALACIOS BARAJAS </w:t>
      </w:r>
    </w:p>
    <w:p>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pPr>
        <w:spacing w:after="0"/>
        <w:jc w:val="center"/>
        <w:rPr>
          <w:rFonts w:ascii="Arial" w:eastAsia="Arial" w:hAnsi="Arial" w:cs="Arial"/>
        </w:rPr>
      </w:pPr>
      <w:r>
        <w:rPr>
          <w:rFonts w:ascii="Arial" w:eastAsia="Arial" w:hAnsi="Arial" w:cs="Arial"/>
        </w:rPr>
        <w:t>Para los Jóvenes del Municipio de Tlajomulco de Zúñiga, Jalisco.</w:t>
      </w: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jc w:val="center"/>
        <w:rPr>
          <w:rFonts w:ascii="Arial" w:eastAsia="Arial" w:hAnsi="Arial" w:cs="Arial"/>
        </w:rPr>
      </w:pPr>
    </w:p>
    <w:p>
      <w:pPr>
        <w:spacing w:after="0"/>
        <w:rPr>
          <w:rFonts w:ascii="Arial" w:eastAsia="Arial" w:hAnsi="Arial" w:cs="Arial"/>
          <w:b/>
        </w:rPr>
      </w:pPr>
    </w:p>
    <w:p>
      <w:pPr>
        <w:spacing w:after="0"/>
        <w:jc w:val="center"/>
        <w:rPr>
          <w:rFonts w:ascii="Arial" w:eastAsia="Arial" w:hAnsi="Arial" w:cs="Arial"/>
          <w:b/>
        </w:rPr>
      </w:pPr>
      <w:r>
        <w:rPr>
          <w:rFonts w:ascii="Arial" w:eastAsia="Arial" w:hAnsi="Arial" w:cs="Arial"/>
          <w:b/>
        </w:rPr>
        <w:lastRenderedPageBreak/>
        <w:t>ANEXO A</w:t>
      </w:r>
    </w:p>
    <w:p>
      <w:pPr>
        <w:spacing w:after="0"/>
        <w:jc w:val="center"/>
        <w:rPr>
          <w:rFonts w:ascii="Arial" w:eastAsia="Arial" w:hAnsi="Arial" w:cs="Arial"/>
          <w:b/>
          <w:sz w:val="24"/>
          <w:szCs w:val="24"/>
        </w:rPr>
      </w:pPr>
      <w:r>
        <w:rPr>
          <w:rFonts w:ascii="Arial" w:eastAsia="Arial" w:hAnsi="Arial" w:cs="Arial"/>
          <w:b/>
        </w:rPr>
        <w:t xml:space="preserve">JUNTA ACLARATORIA </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INDAJO-018/2023</w:t>
      </w:r>
    </w:p>
    <w:p>
      <w:pPr>
        <w:spacing w:after="0" w:line="240" w:lineRule="auto"/>
        <w:jc w:val="center"/>
        <w:rPr>
          <w:rFonts w:ascii="Arial" w:eastAsia="Arial" w:hAnsi="Arial" w:cs="Arial"/>
          <w:b/>
          <w:sz w:val="24"/>
          <w:szCs w:val="24"/>
        </w:rPr>
      </w:pPr>
      <w:r>
        <w:rPr>
          <w:rFonts w:ascii="Arial" w:eastAsia="Arial" w:hAnsi="Arial" w:cs="Arial"/>
          <w:b/>
          <w:sz w:val="24"/>
          <w:szCs w:val="24"/>
        </w:rPr>
        <w:t>“MURALIZACIÓN DE ENTRADAS A LA CIUDAD E INTERVENCIONES ARTÍSTICAS EN EL MUNICIPIO DE TLAJOMULCO DE ZÚÑIGA, JALISCO”</w:t>
      </w:r>
    </w:p>
    <w:tbl>
      <w:tblPr>
        <w:tblStyle w:val="af2"/>
        <w:tblW w:w="10418" w:type="dxa"/>
        <w:tblInd w:w="0" w:type="dxa"/>
        <w:tblLayout w:type="fixed"/>
        <w:tblLook w:val="0000" w:firstRow="0" w:lastRow="0" w:firstColumn="0" w:lastColumn="0" w:noHBand="0" w:noVBand="0"/>
      </w:tblPr>
      <w:tblGrid>
        <w:gridCol w:w="283"/>
        <w:gridCol w:w="10135"/>
      </w:tblGrid>
      <w:tr>
        <w:trPr>
          <w:cantSplit/>
          <w:trHeight w:val="360"/>
        </w:trPr>
        <w:tc>
          <w:tcPr>
            <w:tcW w:w="10418" w:type="dxa"/>
            <w:gridSpan w:val="2"/>
            <w:tcBorders>
              <w:top w:val="single" w:sz="4" w:space="0" w:color="000000"/>
              <w:left w:val="single" w:sz="4" w:space="0" w:color="000000"/>
              <w:right w:val="single" w:sz="4" w:space="0" w:color="000000"/>
            </w:tcBorders>
            <w:vAlign w:val="center"/>
          </w:tcPr>
          <w:p>
            <w:pPr>
              <w:jc w:val="center"/>
              <w:rPr>
                <w:rFonts w:ascii="Arial" w:eastAsia="Arial" w:hAnsi="Arial" w:cs="Arial"/>
                <w:b/>
              </w:rPr>
            </w:pPr>
            <w:r>
              <w:rPr>
                <w:rFonts w:ascii="Arial" w:eastAsia="Arial" w:hAnsi="Arial" w:cs="Arial"/>
                <w:b/>
              </w:rPr>
              <w:t>NOTAS  ACLARATORIAS</w:t>
            </w:r>
          </w:p>
        </w:tc>
      </w:tr>
      <w:tr>
        <w:tc>
          <w:tcPr>
            <w:tcW w:w="283" w:type="dxa"/>
            <w:tcBorders>
              <w:left w:val="single" w:sz="4" w:space="0" w:color="000000"/>
            </w:tcBorders>
          </w:tcPr>
          <w:p>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pPr>
              <w:jc w:val="both"/>
              <w:rPr>
                <w:rFonts w:ascii="Arial" w:eastAsia="Arial" w:hAnsi="Arial" w:cs="Arial"/>
              </w:rPr>
            </w:pPr>
            <w:r>
              <w:rPr>
                <w:rFonts w:ascii="Arial" w:eastAsia="Arial" w:hAnsi="Arial" w:cs="Arial"/>
              </w:rPr>
              <w:t>Solo se aceptarán preguntas presentadas con este formato.</w:t>
            </w:r>
          </w:p>
        </w:tc>
      </w:tr>
      <w:tr>
        <w:tc>
          <w:tcPr>
            <w:tcW w:w="283" w:type="dxa"/>
            <w:tcBorders>
              <w:left w:val="single" w:sz="4" w:space="0" w:color="000000"/>
            </w:tcBorders>
          </w:tcPr>
          <w:p>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tc>
          <w:tcPr>
            <w:tcW w:w="283" w:type="dxa"/>
            <w:tcBorders>
              <w:left w:val="single" w:sz="4" w:space="0" w:color="000000"/>
            </w:tcBorders>
          </w:tcPr>
          <w:p>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Pr>
                <w:rFonts w:ascii="Arial" w:eastAsia="Arial" w:hAnsi="Arial" w:cs="Arial"/>
              </w:rPr>
              <w:t xml:space="preserve">, con atención a la Secretaria Técnica del Comité de Adquisiciones 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pPr>
              <w:jc w:val="both"/>
              <w:rPr>
                <w:rFonts w:ascii="Arial" w:eastAsia="Arial" w:hAnsi="Arial" w:cs="Arial"/>
              </w:rPr>
            </w:pPr>
          </w:p>
        </w:tc>
      </w:tr>
      <w:tr>
        <w:trPr>
          <w:cantSplit/>
        </w:trPr>
        <w:tc>
          <w:tcPr>
            <w:tcW w:w="10418" w:type="dxa"/>
            <w:gridSpan w:val="2"/>
            <w:tcBorders>
              <w:left w:val="single" w:sz="4" w:space="0" w:color="000000"/>
              <w:bottom w:val="single" w:sz="4" w:space="0" w:color="000000"/>
              <w:right w:val="single" w:sz="4" w:space="0" w:color="000000"/>
            </w:tcBorders>
          </w:tcPr>
          <w:p>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trPr>
          <w:cantSplit/>
          <w:trHeight w:val="140"/>
        </w:trPr>
        <w:tc>
          <w:tcPr>
            <w:tcW w:w="10418" w:type="dxa"/>
            <w:gridSpan w:val="2"/>
            <w:tcBorders>
              <w:bottom w:val="single" w:sz="4" w:space="0" w:color="000000"/>
            </w:tcBorders>
          </w:tcPr>
          <w:p>
            <w:pPr>
              <w:rPr>
                <w:rFonts w:ascii="Arial" w:eastAsia="Arial" w:hAnsi="Arial" w:cs="Arial"/>
              </w:rPr>
            </w:pPr>
            <w:r>
              <w:rPr>
                <w:rFonts w:ascii="Arial" w:eastAsia="Arial" w:hAnsi="Arial" w:cs="Arial"/>
              </w:rPr>
              <w:t>Nombre del Licitante      _______________________________________________________________</w:t>
            </w:r>
          </w:p>
          <w:p>
            <w:pPr>
              <w:rPr>
                <w:rFonts w:ascii="Arial" w:eastAsia="Arial" w:hAnsi="Arial" w:cs="Arial"/>
              </w:rPr>
            </w:pPr>
            <w:r>
              <w:rPr>
                <w:rFonts w:ascii="Arial" w:eastAsia="Arial" w:hAnsi="Arial" w:cs="Arial"/>
              </w:rPr>
              <w:t>Representante Legal     ________________________________________________________________</w:t>
            </w:r>
          </w:p>
          <w:p>
            <w:pPr>
              <w:rPr>
                <w:rFonts w:ascii="Arial" w:eastAsia="Arial" w:hAnsi="Arial" w:cs="Arial"/>
              </w:rPr>
            </w:pPr>
            <w:r>
              <w:rPr>
                <w:rFonts w:ascii="Arial" w:eastAsia="Arial" w:hAnsi="Arial" w:cs="Arial"/>
              </w:rPr>
              <w:t>Teléfono y correo Electrónico ____________________________________________________________</w:t>
            </w:r>
          </w:p>
          <w:p>
            <w:pPr>
              <w:jc w:val="center"/>
              <w:rPr>
                <w:rFonts w:ascii="Arial" w:eastAsia="Arial" w:hAnsi="Arial" w:cs="Arial"/>
              </w:rPr>
            </w:pPr>
            <w:r>
              <w:rPr>
                <w:rFonts w:ascii="Arial" w:eastAsia="Arial" w:hAnsi="Arial" w:cs="Arial"/>
              </w:rPr>
              <w:t>Manifiesto que tengo interés en participar en el presente procedimiento licitatorio</w:t>
            </w:r>
          </w:p>
          <w:p>
            <w:pPr>
              <w:rPr>
                <w:rFonts w:ascii="Arial" w:eastAsia="Arial" w:hAnsi="Arial" w:cs="Arial"/>
              </w:rPr>
            </w:pPr>
            <w:r>
              <w:rPr>
                <w:rFonts w:ascii="Arial" w:eastAsia="Arial" w:hAnsi="Arial" w:cs="Arial"/>
              </w:rPr>
              <w:t xml:space="preserve">Firma                                 _______________________________________________________________________  </w:t>
            </w:r>
          </w:p>
        </w:tc>
      </w:tr>
      <w:tr>
        <w:trPr>
          <w:cantSplit/>
          <w:trHeight w:val="335"/>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r>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rPr>
            </w:pPr>
          </w:p>
        </w:tc>
      </w:tr>
    </w:tbl>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p>
    <w:p>
      <w:pPr>
        <w:spacing w:after="0" w:line="240" w:lineRule="auto"/>
        <w:jc w:val="center"/>
        <w:rPr>
          <w:rFonts w:ascii="Arial" w:eastAsia="Arial" w:hAnsi="Arial" w:cs="Arial"/>
          <w:b/>
        </w:rPr>
      </w:pPr>
      <w:r>
        <w:rPr>
          <w:rFonts w:ascii="Arial" w:eastAsia="Arial" w:hAnsi="Arial" w:cs="Arial"/>
          <w:b/>
        </w:rPr>
        <w:t>ANEXO 1</w:t>
      </w:r>
    </w:p>
    <w:p>
      <w:pPr>
        <w:spacing w:after="0" w:line="240" w:lineRule="auto"/>
        <w:jc w:val="center"/>
        <w:rPr>
          <w:rFonts w:ascii="Arial" w:eastAsia="Arial" w:hAnsi="Arial" w:cs="Arial"/>
          <w:b/>
        </w:rPr>
      </w:pPr>
      <w:r>
        <w:rPr>
          <w:rFonts w:ascii="Arial" w:eastAsia="Arial" w:hAnsi="Arial" w:cs="Arial"/>
          <w:b/>
        </w:rPr>
        <w:t>ESPECIFICACIONES</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INDAJO-018/2023</w:t>
      </w:r>
    </w:p>
    <w:p>
      <w:pPr>
        <w:spacing w:after="0" w:line="240" w:lineRule="auto"/>
        <w:jc w:val="center"/>
        <w:rPr>
          <w:rFonts w:ascii="Arial" w:eastAsia="Arial" w:hAnsi="Arial" w:cs="Arial"/>
          <w:b/>
          <w:sz w:val="24"/>
          <w:szCs w:val="24"/>
        </w:rPr>
      </w:pPr>
      <w:r>
        <w:rPr>
          <w:rFonts w:ascii="Arial" w:eastAsia="Arial" w:hAnsi="Arial" w:cs="Arial"/>
          <w:b/>
          <w:sz w:val="24"/>
          <w:szCs w:val="24"/>
        </w:rPr>
        <w:t>“MURALIZACIÓN DE ENTRADAS A LA CIUDAD E INTERVENCIONES ARTÍSTICAS EN EL MUNICIPIO DE TLAJOMULCO DE ZÚÑIGA, JALISCO”</w:t>
      </w:r>
    </w:p>
    <w:p>
      <w:pPr>
        <w:spacing w:after="0" w:line="240" w:lineRule="auto"/>
        <w:jc w:val="both"/>
        <w:rPr>
          <w:rFonts w:ascii="Arial" w:eastAsia="Arial" w:hAnsi="Arial" w:cs="Arial"/>
          <w:b/>
          <w:sz w:val="20"/>
          <w:szCs w:val="20"/>
        </w:rPr>
      </w:pP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b/>
                <w:sz w:val="20"/>
                <w:szCs w:val="20"/>
              </w:rPr>
            </w:pPr>
            <w:r>
              <w:rPr>
                <w:rFonts w:ascii="Arial" w:eastAsia="Arial" w:hAnsi="Arial" w:cs="Arial"/>
                <w:b/>
                <w:sz w:val="20"/>
                <w:szCs w:val="20"/>
              </w:rPr>
              <w:t>Descripción</w:t>
            </w:r>
          </w:p>
        </w:tc>
      </w:tr>
      <w:tr>
        <w:trPr>
          <w:trHeight w:val="42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sz w:val="20"/>
                <w:szCs w:val="20"/>
              </w:rPr>
            </w:pPr>
            <w:r>
              <w:rPr>
                <w:rFonts w:ascii="Arial" w:eastAsia="Arial" w:hAnsi="Arial" w:cs="Arial"/>
                <w:sz w:val="20"/>
                <w:szCs w:val="20"/>
              </w:rPr>
              <w:t>1</w:t>
            </w: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tc>
        <w:tc>
          <w:tcPr>
            <w:tcW w:w="120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rPr>
                <w:rFonts w:ascii="Arial" w:eastAsia="Arial" w:hAnsi="Arial" w:cs="Arial"/>
                <w:sz w:val="20"/>
                <w:szCs w:val="20"/>
              </w:rPr>
            </w:pPr>
            <w:r>
              <w:rPr>
                <w:rFonts w:ascii="Arial" w:eastAsia="Arial" w:hAnsi="Arial" w:cs="Arial"/>
                <w:sz w:val="20"/>
                <w:szCs w:val="20"/>
              </w:rPr>
              <w:t xml:space="preserve">       1</w:t>
            </w: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tc>
        <w:tc>
          <w:tcPr>
            <w:tcW w:w="132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sz w:val="20"/>
                <w:szCs w:val="20"/>
              </w:rPr>
            </w:pPr>
            <w:r>
              <w:rPr>
                <w:rFonts w:ascii="Arial" w:eastAsia="Arial" w:hAnsi="Arial" w:cs="Arial"/>
                <w:sz w:val="20"/>
                <w:szCs w:val="20"/>
              </w:rPr>
              <w:t>Servicio</w:t>
            </w: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pPr>
              <w:jc w:val="both"/>
              <w:rPr>
                <w:rFonts w:ascii="Arial" w:eastAsia="Arial" w:hAnsi="Arial" w:cs="Arial"/>
                <w:sz w:val="20"/>
                <w:szCs w:val="20"/>
              </w:rPr>
            </w:pPr>
            <w:r>
              <w:rPr>
                <w:rFonts w:ascii="Arial" w:eastAsia="Arial" w:hAnsi="Arial" w:cs="Arial"/>
                <w:sz w:val="20"/>
                <w:szCs w:val="20"/>
              </w:rPr>
              <w:t>10 intervenciones artísticas en accesos de fraccionamientos  del Municipio de Tlajomulco de Zúñiga, Jalisco, que incluyan:</w:t>
            </w:r>
          </w:p>
          <w:p>
            <w:pPr>
              <w:numPr>
                <w:ilvl w:val="0"/>
                <w:numId w:val="7"/>
              </w:numPr>
              <w:jc w:val="both"/>
              <w:rPr>
                <w:rFonts w:ascii="Arial" w:eastAsia="Arial" w:hAnsi="Arial" w:cs="Arial"/>
                <w:sz w:val="20"/>
                <w:szCs w:val="20"/>
              </w:rPr>
            </w:pPr>
            <w:r>
              <w:rPr>
                <w:rFonts w:ascii="Arial" w:eastAsia="Arial" w:hAnsi="Arial" w:cs="Arial"/>
                <w:sz w:val="20"/>
                <w:szCs w:val="20"/>
              </w:rPr>
              <w:t>Honorarios de 10 artistas con cumplan los siguientes requisitos:</w:t>
            </w:r>
          </w:p>
          <w:p>
            <w:pPr>
              <w:numPr>
                <w:ilvl w:val="1"/>
                <w:numId w:val="7"/>
              </w:numPr>
              <w:jc w:val="both"/>
              <w:rPr>
                <w:rFonts w:ascii="Arial" w:eastAsia="Arial" w:hAnsi="Arial" w:cs="Arial"/>
                <w:sz w:val="20"/>
                <w:szCs w:val="20"/>
              </w:rPr>
            </w:pPr>
            <w:r>
              <w:rPr>
                <w:rFonts w:ascii="Arial" w:eastAsia="Arial" w:hAnsi="Arial" w:cs="Arial"/>
                <w:sz w:val="20"/>
                <w:szCs w:val="20"/>
              </w:rPr>
              <w:t>Personas mayores de edad.</w:t>
            </w:r>
          </w:p>
          <w:p>
            <w:pPr>
              <w:numPr>
                <w:ilvl w:val="1"/>
                <w:numId w:val="7"/>
              </w:numPr>
              <w:jc w:val="both"/>
              <w:rPr>
                <w:rFonts w:ascii="Arial" w:eastAsia="Arial" w:hAnsi="Arial" w:cs="Arial"/>
                <w:sz w:val="20"/>
                <w:szCs w:val="20"/>
              </w:rPr>
            </w:pPr>
            <w:r>
              <w:rPr>
                <w:rFonts w:ascii="Arial" w:eastAsia="Arial" w:hAnsi="Arial" w:cs="Arial"/>
                <w:sz w:val="20"/>
                <w:szCs w:val="20"/>
              </w:rPr>
              <w:t>Experiencia comprobable en la modalidad de Macro Mural-Graffiti</w:t>
            </w:r>
          </w:p>
          <w:p>
            <w:pPr>
              <w:numPr>
                <w:ilvl w:val="1"/>
                <w:numId w:val="7"/>
              </w:numPr>
              <w:jc w:val="both"/>
              <w:rPr>
                <w:rFonts w:ascii="Arial" w:eastAsia="Arial" w:hAnsi="Arial" w:cs="Arial"/>
                <w:sz w:val="20"/>
                <w:szCs w:val="20"/>
              </w:rPr>
            </w:pPr>
            <w:r>
              <w:rPr>
                <w:rFonts w:ascii="Arial" w:eastAsia="Arial" w:hAnsi="Arial" w:cs="Arial"/>
                <w:sz w:val="20"/>
                <w:szCs w:val="20"/>
              </w:rPr>
              <w:t>Originarias o residentes de Jalisco.</w:t>
            </w:r>
          </w:p>
          <w:p>
            <w:pPr>
              <w:numPr>
                <w:ilvl w:val="1"/>
                <w:numId w:val="7"/>
              </w:numPr>
              <w:jc w:val="both"/>
              <w:rPr>
                <w:rFonts w:ascii="Arial" w:eastAsia="Arial" w:hAnsi="Arial" w:cs="Arial"/>
                <w:sz w:val="20"/>
                <w:szCs w:val="20"/>
              </w:rPr>
            </w:pPr>
            <w:r>
              <w:rPr>
                <w:rFonts w:ascii="Arial" w:eastAsia="Arial" w:hAnsi="Arial" w:cs="Arial"/>
                <w:sz w:val="20"/>
                <w:szCs w:val="20"/>
              </w:rPr>
              <w:t xml:space="preserve">Se podrá participar de manera individual o colectiva al momento de las intervenciones artísticas. </w:t>
            </w:r>
          </w:p>
          <w:p>
            <w:pPr>
              <w:numPr>
                <w:ilvl w:val="1"/>
                <w:numId w:val="7"/>
              </w:numPr>
              <w:jc w:val="both"/>
              <w:rPr>
                <w:rFonts w:ascii="Arial" w:eastAsia="Arial" w:hAnsi="Arial" w:cs="Arial"/>
                <w:sz w:val="20"/>
                <w:szCs w:val="20"/>
              </w:rPr>
            </w:pPr>
            <w:r>
              <w:rPr>
                <w:rFonts w:ascii="Arial" w:eastAsia="Arial" w:hAnsi="Arial" w:cs="Arial"/>
                <w:sz w:val="20"/>
                <w:szCs w:val="20"/>
              </w:rPr>
              <w:t>Los artistas seleccionados por el proveedor serán notificados de la temática y paleta de colores para el desarrollo de la propuesta artística y tendrán hasta 20 días hábiles para realizar las intervenciones artísticas una vez notificado el cronograma correspondiente.</w:t>
            </w:r>
          </w:p>
          <w:p>
            <w:pPr>
              <w:numPr>
                <w:ilvl w:val="0"/>
                <w:numId w:val="7"/>
              </w:numPr>
              <w:jc w:val="both"/>
              <w:rPr>
                <w:rFonts w:ascii="Arial" w:eastAsia="Arial" w:hAnsi="Arial" w:cs="Arial"/>
                <w:sz w:val="20"/>
                <w:szCs w:val="20"/>
              </w:rPr>
            </w:pPr>
            <w:r>
              <w:rPr>
                <w:rFonts w:ascii="Arial" w:eastAsia="Arial" w:hAnsi="Arial" w:cs="Arial"/>
                <w:sz w:val="20"/>
                <w:szCs w:val="20"/>
              </w:rPr>
              <w:t xml:space="preserve">personas de apoyo con experiencia en trabajos de albañilería y pintura, mismas que serán asignadas por espacios conforme el cronograma correspondiente. </w:t>
            </w:r>
          </w:p>
          <w:p>
            <w:pPr>
              <w:jc w:val="both"/>
              <w:rPr>
                <w:rFonts w:ascii="Arial" w:eastAsia="Arial" w:hAnsi="Arial" w:cs="Arial"/>
                <w:sz w:val="20"/>
                <w:szCs w:val="20"/>
              </w:rPr>
            </w:pPr>
          </w:p>
          <w:p>
            <w:pPr>
              <w:jc w:val="both"/>
              <w:rPr>
                <w:rFonts w:ascii="Arial" w:eastAsia="Arial" w:hAnsi="Arial" w:cs="Arial"/>
                <w:b/>
                <w:sz w:val="20"/>
                <w:szCs w:val="20"/>
              </w:rPr>
            </w:pPr>
            <w:r>
              <w:rPr>
                <w:rFonts w:ascii="Arial" w:eastAsia="Arial" w:hAnsi="Arial" w:cs="Arial"/>
                <w:b/>
                <w:sz w:val="20"/>
                <w:szCs w:val="20"/>
              </w:rPr>
              <w:t xml:space="preserve">Asimismo, que incluyan el siguiente material y maquinaria: </w:t>
            </w:r>
          </w:p>
          <w:p>
            <w:pPr>
              <w:numPr>
                <w:ilvl w:val="0"/>
                <w:numId w:val="7"/>
              </w:numPr>
              <w:jc w:val="both"/>
              <w:rPr>
                <w:rFonts w:ascii="Arial" w:eastAsia="Arial" w:hAnsi="Arial" w:cs="Arial"/>
                <w:sz w:val="20"/>
                <w:szCs w:val="20"/>
              </w:rPr>
            </w:pPr>
            <w:r>
              <w:rPr>
                <w:rFonts w:ascii="Arial" w:eastAsia="Arial" w:hAnsi="Arial" w:cs="Arial"/>
                <w:sz w:val="20"/>
                <w:szCs w:val="20"/>
              </w:rPr>
              <w:t>81 Cubetas de 19 litros de Pintura vinílica con las siguientes características mínimas: 100% acrílica, acabado mate, rendimiento de 12 a 14 m²/, viscosidad de 100 - 125 Unidades Krebs al momento de envasado, tiempo de secado: a 25ºC (77ºF) y 50% de humedad relativa: La primera mano seca al tacto de 30 minutos. Para segunda mano 60 minutos.</w:t>
            </w:r>
          </w:p>
          <w:p>
            <w:pPr>
              <w:numPr>
                <w:ilvl w:val="0"/>
                <w:numId w:val="7"/>
              </w:numPr>
              <w:jc w:val="both"/>
              <w:rPr>
                <w:rFonts w:ascii="Arial" w:eastAsia="Arial" w:hAnsi="Arial" w:cs="Arial"/>
                <w:sz w:val="20"/>
                <w:szCs w:val="20"/>
              </w:rPr>
            </w:pPr>
            <w:r>
              <w:rPr>
                <w:rFonts w:ascii="Arial" w:eastAsia="Arial" w:hAnsi="Arial" w:cs="Arial"/>
                <w:sz w:val="20"/>
                <w:szCs w:val="20"/>
              </w:rPr>
              <w:t>1,273 de pintura en aerosol para Graffiti con las siguientes características mínimas: Lata de 400 ml. pintura acrílica, acabado mate, con alto poder cubriente, con una variedad mínima de hasta 125 colores.</w:t>
            </w:r>
          </w:p>
          <w:p>
            <w:pPr>
              <w:numPr>
                <w:ilvl w:val="0"/>
                <w:numId w:val="7"/>
              </w:numPr>
              <w:jc w:val="both"/>
              <w:rPr>
                <w:rFonts w:ascii="Arial" w:eastAsia="Arial" w:hAnsi="Arial" w:cs="Arial"/>
                <w:sz w:val="20"/>
                <w:szCs w:val="20"/>
              </w:rPr>
            </w:pPr>
            <w:r>
              <w:rPr>
                <w:rFonts w:ascii="Arial" w:eastAsia="Arial" w:hAnsi="Arial" w:cs="Arial"/>
                <w:sz w:val="20"/>
                <w:szCs w:val="20"/>
              </w:rPr>
              <w:t xml:space="preserve">40 cubetas de 19 litros de Sellador con las siguientes características mínimas: tipo vinil-acrilico, rendimiento teorico de 30-40 m2/L, tiempo de secado al tacto 30 minutos, viscosidad de </w:t>
            </w:r>
            <w:r>
              <w:rPr>
                <w:rFonts w:ascii="Arial" w:eastAsia="Arial" w:hAnsi="Arial" w:cs="Arial"/>
                <w:sz w:val="20"/>
                <w:szCs w:val="20"/>
              </w:rPr>
              <w:lastRenderedPageBreak/>
              <w:t>113-124 KU.</w:t>
            </w:r>
          </w:p>
          <w:p>
            <w:pPr>
              <w:numPr>
                <w:ilvl w:val="0"/>
                <w:numId w:val="7"/>
              </w:numPr>
              <w:jc w:val="both"/>
              <w:rPr>
                <w:rFonts w:ascii="Arial" w:eastAsia="Arial" w:hAnsi="Arial" w:cs="Arial"/>
                <w:sz w:val="20"/>
                <w:szCs w:val="20"/>
              </w:rPr>
            </w:pPr>
            <w:r>
              <w:rPr>
                <w:rFonts w:ascii="Arial" w:eastAsia="Arial" w:hAnsi="Arial" w:cs="Arial"/>
                <w:sz w:val="20"/>
                <w:szCs w:val="20"/>
              </w:rPr>
              <w:t>Válvulas para aerosol: 250 piezas tipo fat cap, 250 piezas tipo astro fat y 300 piezas tipo skinny cap verde.</w:t>
            </w:r>
          </w:p>
          <w:p>
            <w:pPr>
              <w:numPr>
                <w:ilvl w:val="0"/>
                <w:numId w:val="7"/>
              </w:numPr>
              <w:jc w:val="both"/>
              <w:rPr>
                <w:rFonts w:ascii="Arial" w:eastAsia="Arial" w:hAnsi="Arial" w:cs="Arial"/>
                <w:sz w:val="20"/>
                <w:szCs w:val="20"/>
              </w:rPr>
            </w:pPr>
            <w:r>
              <w:rPr>
                <w:rFonts w:ascii="Arial" w:eastAsia="Arial" w:hAnsi="Arial" w:cs="Arial"/>
                <w:sz w:val="20"/>
                <w:szCs w:val="20"/>
              </w:rPr>
              <w:t>Brochas para pintar, 20 piezas de 1”, 20 piezas de 2”, 20 piezas de 3” y 20 piezas de 4”, con las siguientes características: con filamentos sintéticos de alta durabilidad, forma de la cabeza angular para un acabado profesional.</w:t>
            </w:r>
          </w:p>
          <w:p>
            <w:pPr>
              <w:numPr>
                <w:ilvl w:val="0"/>
                <w:numId w:val="7"/>
              </w:numPr>
              <w:jc w:val="both"/>
              <w:rPr>
                <w:rFonts w:ascii="Arial" w:eastAsia="Arial" w:hAnsi="Arial" w:cs="Arial"/>
                <w:sz w:val="20"/>
                <w:szCs w:val="20"/>
              </w:rPr>
            </w:pPr>
            <w:r>
              <w:rPr>
                <w:rFonts w:ascii="Arial" w:eastAsia="Arial" w:hAnsi="Arial" w:cs="Arial"/>
                <w:sz w:val="20"/>
                <w:szCs w:val="20"/>
              </w:rPr>
              <w:t>rodillos (maneral y felpa ultra rugoso) 60 grandes y 60 chicos.</w:t>
            </w:r>
          </w:p>
          <w:p>
            <w:pPr>
              <w:numPr>
                <w:ilvl w:val="0"/>
                <w:numId w:val="7"/>
              </w:numPr>
              <w:jc w:val="both"/>
              <w:rPr>
                <w:rFonts w:ascii="Arial" w:eastAsia="Arial" w:hAnsi="Arial" w:cs="Arial"/>
                <w:sz w:val="20"/>
                <w:szCs w:val="20"/>
              </w:rPr>
            </w:pPr>
            <w:r>
              <w:rPr>
                <w:rFonts w:ascii="Arial" w:eastAsia="Arial" w:hAnsi="Arial" w:cs="Arial"/>
                <w:sz w:val="20"/>
                <w:szCs w:val="20"/>
              </w:rPr>
              <w:t>100 piezas de charolas de plástico para pintar de 14’’.</w:t>
            </w:r>
          </w:p>
          <w:p>
            <w:pPr>
              <w:numPr>
                <w:ilvl w:val="0"/>
                <w:numId w:val="7"/>
              </w:numPr>
              <w:jc w:val="both"/>
              <w:rPr>
                <w:rFonts w:ascii="Arial" w:eastAsia="Arial" w:hAnsi="Arial" w:cs="Arial"/>
                <w:sz w:val="20"/>
                <w:szCs w:val="20"/>
              </w:rPr>
            </w:pPr>
            <w:r>
              <w:rPr>
                <w:rFonts w:ascii="Arial" w:eastAsia="Arial" w:hAnsi="Arial" w:cs="Arial"/>
                <w:sz w:val="20"/>
                <w:szCs w:val="20"/>
              </w:rPr>
              <w:t>100 piezas de Cintas de 1 ½ de baja adherencia, especial para recortes, bordes y líneas perfectas.</w:t>
            </w:r>
          </w:p>
          <w:p>
            <w:pPr>
              <w:numPr>
                <w:ilvl w:val="0"/>
                <w:numId w:val="7"/>
              </w:numPr>
              <w:jc w:val="both"/>
              <w:rPr>
                <w:rFonts w:ascii="Arial" w:eastAsia="Arial" w:hAnsi="Arial" w:cs="Arial"/>
                <w:sz w:val="20"/>
                <w:szCs w:val="20"/>
              </w:rPr>
            </w:pPr>
            <w:r>
              <w:rPr>
                <w:rFonts w:ascii="Arial" w:eastAsia="Arial" w:hAnsi="Arial" w:cs="Arial"/>
                <w:sz w:val="20"/>
                <w:szCs w:val="20"/>
              </w:rPr>
              <w:t xml:space="preserve">30 piezas de tiralíneas de 30 metros. </w:t>
            </w:r>
          </w:p>
          <w:p>
            <w:pPr>
              <w:numPr>
                <w:ilvl w:val="0"/>
                <w:numId w:val="7"/>
              </w:numPr>
              <w:jc w:val="both"/>
              <w:rPr>
                <w:rFonts w:ascii="Arial" w:eastAsia="Arial" w:hAnsi="Arial" w:cs="Arial"/>
                <w:sz w:val="20"/>
                <w:szCs w:val="20"/>
              </w:rPr>
            </w:pPr>
            <w:r>
              <w:rPr>
                <w:rFonts w:ascii="Arial" w:eastAsia="Arial" w:hAnsi="Arial" w:cs="Arial"/>
                <w:sz w:val="20"/>
                <w:szCs w:val="20"/>
              </w:rPr>
              <w:t>Arrendamiento de 1 Sprayadora (pulverizador mecánico a gasolina), por temporalidad de hasta 4 meses.</w:t>
            </w:r>
          </w:p>
          <w:p>
            <w:pPr>
              <w:numPr>
                <w:ilvl w:val="0"/>
                <w:numId w:val="7"/>
              </w:numPr>
              <w:jc w:val="both"/>
              <w:rPr>
                <w:rFonts w:ascii="Arial" w:eastAsia="Arial" w:hAnsi="Arial" w:cs="Arial"/>
                <w:sz w:val="20"/>
                <w:szCs w:val="20"/>
              </w:rPr>
            </w:pPr>
            <w:r>
              <w:rPr>
                <w:rFonts w:ascii="Arial" w:eastAsia="Arial" w:hAnsi="Arial" w:cs="Arial"/>
                <w:sz w:val="20"/>
                <w:szCs w:val="20"/>
              </w:rPr>
              <w:t>Arrendamiento de 12 pisos de andamios completos con ruedas y plafones, por temporalidad de hasta 4 meses.</w:t>
            </w:r>
          </w:p>
          <w:p>
            <w:pPr>
              <w:numPr>
                <w:ilvl w:val="0"/>
                <w:numId w:val="7"/>
              </w:numPr>
              <w:jc w:val="both"/>
              <w:rPr>
                <w:rFonts w:ascii="Arial" w:eastAsia="Arial" w:hAnsi="Arial" w:cs="Arial"/>
                <w:sz w:val="20"/>
                <w:szCs w:val="20"/>
              </w:rPr>
            </w:pPr>
            <w:r>
              <w:rPr>
                <w:rFonts w:ascii="Arial" w:eastAsia="Arial" w:hAnsi="Arial" w:cs="Arial"/>
                <w:sz w:val="20"/>
                <w:szCs w:val="20"/>
              </w:rPr>
              <w:t>Arrendamiento de 2 grúas de gasolina, con brazo telescópico articulado de 15 metros, por temporalidad de hasta 4 meses.</w:t>
            </w:r>
          </w:p>
          <w:p>
            <w:pPr>
              <w:jc w:val="both"/>
              <w:rPr>
                <w:rFonts w:ascii="Arial" w:eastAsia="Arial" w:hAnsi="Arial" w:cs="Arial"/>
                <w:sz w:val="20"/>
                <w:szCs w:val="20"/>
              </w:rPr>
            </w:pPr>
          </w:p>
          <w:p>
            <w:pPr>
              <w:jc w:val="both"/>
              <w:rPr>
                <w:rFonts w:ascii="Arial" w:eastAsia="Arial" w:hAnsi="Arial" w:cs="Arial"/>
                <w:sz w:val="20"/>
                <w:szCs w:val="20"/>
              </w:rPr>
            </w:pPr>
            <w:r>
              <w:rPr>
                <w:rFonts w:ascii="Arial" w:eastAsia="Arial" w:hAnsi="Arial" w:cs="Arial"/>
                <w:sz w:val="20"/>
                <w:szCs w:val="20"/>
              </w:rPr>
              <w:t>La siguiente tabla presenta las Cedes para las intervenciones artísticas (sujeto a posibles cambios mismo que se notificaran con 10 días naturales de anticipación)</w:t>
            </w:r>
          </w:p>
          <w:p>
            <w:pPr>
              <w:jc w:val="both"/>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79744" behindDoc="0" locked="0" layoutInCell="1" allowOverlap="1">
                  <wp:simplePos x="0" y="0"/>
                  <wp:positionH relativeFrom="column">
                    <wp:posOffset>-2724150</wp:posOffset>
                  </wp:positionH>
                  <wp:positionV relativeFrom="page">
                    <wp:posOffset>1929765</wp:posOffset>
                  </wp:positionV>
                  <wp:extent cx="2609850" cy="23628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2362835"/>
                          </a:xfrm>
                          <a:prstGeom prst="rect">
                            <a:avLst/>
                          </a:prstGeom>
                          <a:noFill/>
                        </pic:spPr>
                      </pic:pic>
                    </a:graphicData>
                  </a:graphic>
                  <wp14:sizeRelH relativeFrom="page">
                    <wp14:pctWidth>0</wp14:pctWidth>
                  </wp14:sizeRelH>
                  <wp14:sizeRelV relativeFrom="page">
                    <wp14:pctHeight>0</wp14:pctHeight>
                  </wp14:sizeRelV>
                </wp:anchor>
              </w:drawing>
            </w:r>
          </w:p>
          <w:p>
            <w:pPr>
              <w:jc w:val="both"/>
              <w:rPr>
                <w:rFonts w:ascii="Arial" w:eastAsia="Arial" w:hAnsi="Arial" w:cs="Arial"/>
                <w:sz w:val="20"/>
                <w:szCs w:val="20"/>
              </w:rPr>
            </w:pPr>
          </w:p>
          <w:p>
            <w:pPr>
              <w:jc w:val="both"/>
              <w:rPr>
                <w:rFonts w:ascii="Arial" w:eastAsia="Arial" w:hAnsi="Arial" w:cs="Arial"/>
                <w:sz w:val="20"/>
                <w:szCs w:val="20"/>
              </w:rPr>
            </w:pPr>
          </w:p>
          <w:p>
            <w:pPr>
              <w:jc w:val="both"/>
              <w:rPr>
                <w:rFonts w:ascii="Arial" w:eastAsia="Arial" w:hAnsi="Arial" w:cs="Arial"/>
                <w:sz w:val="20"/>
                <w:szCs w:val="20"/>
              </w:rPr>
            </w:pPr>
          </w:p>
          <w:p>
            <w:pPr>
              <w:jc w:val="both"/>
              <w:rPr>
                <w:rFonts w:ascii="Arial" w:eastAsia="Arial" w:hAnsi="Arial" w:cs="Arial"/>
                <w:sz w:val="20"/>
                <w:szCs w:val="20"/>
              </w:rPr>
            </w:pPr>
          </w:p>
          <w:p>
            <w:pPr>
              <w:rPr>
                <w:rFonts w:ascii="Arial" w:eastAsia="Arial" w:hAnsi="Arial" w:cs="Arial"/>
                <w:sz w:val="20"/>
                <w:szCs w:val="20"/>
              </w:rPr>
            </w:pPr>
          </w:p>
          <w:p>
            <w:pPr>
              <w:rPr>
                <w:rFonts w:ascii="Arial" w:eastAsia="Arial" w:hAnsi="Arial" w:cs="Arial"/>
                <w:sz w:val="20"/>
                <w:szCs w:val="20"/>
              </w:rPr>
            </w:pPr>
          </w:p>
          <w:p>
            <w:pPr>
              <w:rPr>
                <w:rFonts w:ascii="Arial" w:eastAsia="Arial" w:hAnsi="Arial" w:cs="Arial"/>
                <w:sz w:val="20"/>
                <w:szCs w:val="20"/>
              </w:rPr>
            </w:pPr>
          </w:p>
          <w:p>
            <w:pPr>
              <w:rPr>
                <w:rFonts w:ascii="Arial" w:eastAsia="Arial" w:hAnsi="Arial" w:cs="Arial"/>
                <w:sz w:val="20"/>
                <w:szCs w:val="20"/>
              </w:rPr>
            </w:pPr>
          </w:p>
        </w:tc>
      </w:tr>
      <w:tr>
        <w:trPr>
          <w:trHeight w:val="42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spacing w:before="240" w:after="3600"/>
              <w:ind w:left="57"/>
              <w:jc w:val="center"/>
              <w:rPr>
                <w:rFonts w:ascii="Arial" w:eastAsia="Arial" w:hAnsi="Arial" w:cs="Arial"/>
                <w:sz w:val="20"/>
                <w:szCs w:val="20"/>
              </w:rPr>
            </w:pPr>
            <w:r>
              <w:rPr>
                <w:rFonts w:ascii="Arial" w:eastAsia="Arial" w:hAnsi="Arial" w:cs="Arial"/>
                <w:sz w:val="20"/>
                <w:szCs w:val="20"/>
              </w:rPr>
              <w:lastRenderedPageBreak/>
              <w:t>2</w:t>
            </w:r>
          </w:p>
        </w:tc>
        <w:tc>
          <w:tcPr>
            <w:tcW w:w="120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spacing w:after="3600"/>
              <w:ind w:left="57"/>
              <w:jc w:val="center"/>
              <w:rPr>
                <w:rFonts w:ascii="Arial" w:eastAsia="Arial" w:hAnsi="Arial" w:cs="Arial"/>
                <w:sz w:val="20"/>
                <w:szCs w:val="20"/>
              </w:rPr>
            </w:pPr>
            <w:r>
              <w:rPr>
                <w:rFonts w:ascii="Arial" w:eastAsia="Arial" w:hAnsi="Arial" w:cs="Arial"/>
                <w:sz w:val="20"/>
                <w:szCs w:val="20"/>
              </w:rPr>
              <w:t>15</w:t>
            </w:r>
          </w:p>
        </w:tc>
        <w:tc>
          <w:tcPr>
            <w:tcW w:w="132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spacing w:after="3600"/>
              <w:ind w:left="57"/>
              <w:jc w:val="center"/>
              <w:rPr>
                <w:rFonts w:ascii="Arial" w:eastAsia="Arial" w:hAnsi="Arial" w:cs="Arial"/>
                <w:sz w:val="20"/>
                <w:szCs w:val="20"/>
              </w:rPr>
            </w:pPr>
            <w:r>
              <w:rPr>
                <w:rFonts w:ascii="Arial" w:eastAsia="Arial" w:hAnsi="Arial" w:cs="Arial"/>
                <w:sz w:val="20"/>
                <w:szCs w:val="20"/>
              </w:rPr>
              <w:t>servicio</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pPr>
              <w:rPr>
                <w:rFonts w:ascii="Arial" w:eastAsia="Arial" w:hAnsi="Arial" w:cs="Arial"/>
                <w:sz w:val="20"/>
                <w:szCs w:val="20"/>
              </w:rPr>
            </w:pPr>
            <w:r>
              <w:rPr>
                <w:rFonts w:ascii="Arial" w:eastAsia="Arial" w:hAnsi="Arial" w:cs="Arial"/>
                <w:b/>
                <w:szCs w:val="20"/>
              </w:rPr>
              <w:t>Intervenciones artísticas</w:t>
            </w:r>
            <w:r>
              <w:rPr>
                <w:rFonts w:ascii="Arial" w:eastAsia="Arial" w:hAnsi="Arial" w:cs="Arial"/>
                <w:sz w:val="20"/>
                <w:szCs w:val="20"/>
              </w:rPr>
              <w:t xml:space="preserve"> equivalentes aproximadamente a 5,800 M2.  mismos que distribuirán en 15 intervenciones: </w:t>
            </w:r>
          </w:p>
          <w:p>
            <w:pPr>
              <w:rPr>
                <w:rFonts w:ascii="Arial" w:eastAsia="Arial" w:hAnsi="Arial" w:cs="Arial"/>
                <w:sz w:val="20"/>
                <w:szCs w:val="20"/>
              </w:rPr>
            </w:pPr>
          </w:p>
          <w:p>
            <w:pPr>
              <w:numPr>
                <w:ilvl w:val="0"/>
                <w:numId w:val="7"/>
              </w:numPr>
              <w:spacing w:after="160" w:line="259" w:lineRule="auto"/>
              <w:rPr>
                <w:rFonts w:ascii="Arial" w:eastAsia="Arial" w:hAnsi="Arial" w:cs="Arial"/>
                <w:sz w:val="20"/>
                <w:szCs w:val="20"/>
              </w:rPr>
            </w:pPr>
            <w:r>
              <w:rPr>
                <w:rFonts w:ascii="Arial" w:eastAsia="Arial" w:hAnsi="Arial" w:cs="Arial"/>
                <w:sz w:val="20"/>
                <w:szCs w:val="20"/>
              </w:rPr>
              <w:t>Honorarios de 10 artistas que cumplan los siguientes requisitos:</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Personas mayores de edad.</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Experiencia comprobable en intervenciones artísticas</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Originarias o residentes de Jalisco.</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 xml:space="preserve">Realizar propuestas de acuerdo a la temática asignada mediante el cronograma de intervenciones artísticas. </w:t>
            </w:r>
          </w:p>
          <w:p>
            <w:pPr>
              <w:ind w:left="720"/>
              <w:rPr>
                <w:rFonts w:ascii="Arial" w:eastAsia="Arial" w:hAnsi="Arial" w:cs="Arial"/>
                <w:b/>
                <w:sz w:val="20"/>
                <w:szCs w:val="20"/>
              </w:rPr>
            </w:pPr>
            <w:r>
              <w:rPr>
                <w:rFonts w:ascii="Arial" w:eastAsia="Arial" w:hAnsi="Arial" w:cs="Arial"/>
                <w:b/>
                <w:sz w:val="20"/>
                <w:szCs w:val="20"/>
              </w:rPr>
              <w:t xml:space="preserve">Asimismo, que incluyan el siguiente material: </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73 Cubetas de 19 litros de Pintura vinílica con las siguientes características mínimas: 100% acrílica, acabado mate, rendimiento de 12 a 14 m²/, viscosidad de 100 - 125 Unidades Krebs al momento de envasado, tiempo de secado: a 25ºC (77ºF) y 50% de humedad relativa: La primera mano seca al tacto de 30 minutos. Para segunda mano 60 minutos.</w:t>
            </w:r>
          </w:p>
          <w:p>
            <w:pPr>
              <w:numPr>
                <w:ilvl w:val="0"/>
                <w:numId w:val="7"/>
              </w:numPr>
              <w:spacing w:after="160" w:line="259" w:lineRule="auto"/>
              <w:rPr>
                <w:rFonts w:ascii="Arial" w:eastAsia="Arial" w:hAnsi="Arial" w:cs="Arial"/>
                <w:sz w:val="20"/>
                <w:szCs w:val="20"/>
              </w:rPr>
            </w:pPr>
            <w:r>
              <w:rPr>
                <w:rFonts w:ascii="Arial" w:eastAsia="Arial" w:hAnsi="Arial" w:cs="Arial"/>
                <w:sz w:val="20"/>
                <w:szCs w:val="20"/>
              </w:rPr>
              <w:t>1,020 de pintura en aerosol para Graffiti con las siguientes características mínimas: Lata de 400 ml. Pintura acrílica, acabado mate, con alto poder cubriente, con una variedad mínima de hasta 125 colores.</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40 cubetas de 19 litros de Sellador con las siguientes características mínimas: tipo vinil-acrilico, rendimiento teorico de 30-40 m2/L, tiempo de secado al tacto 30 minutos, viscosidad de 113-124 KU.</w:t>
            </w:r>
          </w:p>
          <w:p>
            <w:pPr>
              <w:numPr>
                <w:ilvl w:val="0"/>
                <w:numId w:val="7"/>
              </w:numPr>
              <w:spacing w:after="160" w:line="259" w:lineRule="auto"/>
              <w:jc w:val="both"/>
              <w:rPr>
                <w:rFonts w:ascii="Arial" w:eastAsia="Arial" w:hAnsi="Arial" w:cs="Arial"/>
                <w:b/>
                <w:sz w:val="20"/>
                <w:szCs w:val="20"/>
              </w:rPr>
            </w:pPr>
            <w:r>
              <w:rPr>
                <w:rFonts w:ascii="Arial" w:eastAsia="Arial" w:hAnsi="Arial" w:cs="Arial"/>
                <w:b/>
                <w:sz w:val="20"/>
                <w:szCs w:val="20"/>
              </w:rPr>
              <w:t xml:space="preserve">Herramientas menores: </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Válvulas para aerosol: 100 piezas tipo fat cap, 100 piezas tipo astro fat y 200 piezas tipo skinny cap verde.</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Brochas para pintar,</w:t>
            </w:r>
            <w:r>
              <w:rPr>
                <w:color w:val="4A4A4A"/>
              </w:rPr>
              <w:t xml:space="preserve"> </w:t>
            </w:r>
            <w:r>
              <w:rPr>
                <w:rFonts w:ascii="Arial" w:eastAsia="Arial" w:hAnsi="Arial" w:cs="Arial"/>
                <w:sz w:val="20"/>
                <w:szCs w:val="20"/>
              </w:rPr>
              <w:t>10 piezas de 1”,10 piezas de 2”, 10 piezas de 3” y 10 piezas de 4”, con las siguientes características: con filamentos sintéticos de alta durabilidad, forma de la cabeza angular para un acabado profesional.</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rodillos (maneral y felpa ultra rugoso)  20 grandes y 20 chicos.</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40 piezas de charolas de plástico para pintar de 14’’.</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30 piezas de Cintas de 1 ½ de baja adherencia, especial para recortes, bordes y líneas perfectas.</w:t>
            </w:r>
          </w:p>
          <w:p>
            <w:pPr>
              <w:numPr>
                <w:ilvl w:val="0"/>
                <w:numId w:val="7"/>
              </w:numPr>
              <w:jc w:val="both"/>
              <w:rPr>
                <w:rFonts w:ascii="Arial" w:eastAsia="Arial" w:hAnsi="Arial" w:cs="Arial"/>
                <w:sz w:val="20"/>
                <w:szCs w:val="20"/>
              </w:rPr>
            </w:pPr>
            <w:bookmarkStart w:id="17" w:name="_heading=h.gjdgxs" w:colFirst="0" w:colLast="0"/>
            <w:bookmarkEnd w:id="17"/>
            <w:r>
              <w:rPr>
                <w:rFonts w:ascii="Arial" w:eastAsia="Arial" w:hAnsi="Arial" w:cs="Arial"/>
                <w:sz w:val="20"/>
                <w:szCs w:val="20"/>
              </w:rPr>
              <w:t>10 piezas de tiralíneas de 30 metros.</w:t>
            </w:r>
          </w:p>
        </w:tc>
      </w:tr>
    </w:tbl>
    <w:p>
      <w:pPr>
        <w:spacing w:after="0" w:line="240" w:lineRule="auto"/>
        <w:jc w:val="both"/>
        <w:rPr>
          <w:rFonts w:ascii="Arial" w:eastAsia="Arial" w:hAnsi="Arial" w:cs="Arial"/>
          <w:b/>
          <w:sz w:val="20"/>
          <w:szCs w:val="20"/>
        </w:rPr>
      </w:pPr>
    </w:p>
    <w:p>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Los bienes y servicios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pPr>
        <w:spacing w:after="0" w:line="240" w:lineRule="auto"/>
        <w:jc w:val="both"/>
        <w:rPr>
          <w:rFonts w:ascii="Arial" w:eastAsia="Arial" w:hAnsi="Arial" w:cs="Arial"/>
          <w:sz w:val="24"/>
          <w:szCs w:val="24"/>
          <w:highlight w:val="yellow"/>
        </w:rPr>
      </w:pPr>
    </w:p>
    <w:p>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8" w:name="bookmark=id.2jxsxqh" w:colFirst="0" w:colLast="0"/>
      <w:bookmarkStart w:id="19" w:name="bookmark=id.44sinio" w:colFirst="0" w:colLast="0"/>
      <w:bookmarkEnd w:id="18"/>
      <w:bookmarkEnd w:id="19"/>
      <w:r>
        <w:rPr>
          <w:rFonts w:ascii="Arial" w:eastAsia="Arial" w:hAnsi="Arial" w:cs="Arial"/>
          <w:sz w:val="24"/>
          <w:szCs w:val="24"/>
        </w:rPr>
        <w:t>I</w:t>
      </w:r>
      <w:bookmarkStart w:id="20" w:name="bookmark=id.z337ya" w:colFirst="0" w:colLast="0"/>
      <w:bookmarkStart w:id="21" w:name="bookmark=id.3j2qqm3" w:colFirst="0" w:colLast="0"/>
      <w:bookmarkEnd w:id="20"/>
      <w:bookmarkEnd w:id="21"/>
      <w:r>
        <w:rPr>
          <w:rFonts w:ascii="Arial" w:eastAsia="Arial" w:hAnsi="Arial" w:cs="Arial"/>
          <w:sz w:val="24"/>
          <w:szCs w:val="24"/>
        </w:rPr>
        <w:t xml:space="preserve">NDAJO-018/2023, cumplen invariablemente con todas y </w:t>
      </w:r>
    </w:p>
    <w:p>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INDAJO-018/2023.</w:t>
      </w:r>
    </w:p>
    <w:p>
      <w:pPr>
        <w:spacing w:after="0" w:line="240" w:lineRule="auto"/>
        <w:jc w:val="both"/>
        <w:rPr>
          <w:rFonts w:ascii="Arial" w:eastAsia="Arial" w:hAnsi="Arial" w:cs="Arial"/>
          <w:sz w:val="20"/>
          <w:szCs w:val="20"/>
        </w:rPr>
      </w:pPr>
    </w:p>
    <w:p>
      <w:pPr>
        <w:spacing w:after="0" w:line="240" w:lineRule="auto"/>
        <w:jc w:val="both"/>
        <w:rPr>
          <w:rFonts w:ascii="Arial" w:eastAsia="Arial" w:hAnsi="Arial" w:cs="Arial"/>
          <w:sz w:val="20"/>
          <w:szCs w:val="20"/>
        </w:rPr>
      </w:pPr>
    </w:p>
    <w:p>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pPr>
        <w:spacing w:after="0"/>
        <w:rPr>
          <w:rFonts w:ascii="Arial" w:eastAsia="Arial" w:hAnsi="Arial" w:cs="Arial"/>
        </w:rPr>
      </w:pPr>
      <w:r>
        <w:rPr>
          <w:rFonts w:ascii="Arial" w:eastAsia="Arial" w:hAnsi="Arial" w:cs="Arial"/>
        </w:rPr>
        <w:t>y/o su Representante Legal</w:t>
      </w:r>
    </w:p>
    <w:p>
      <w:pPr>
        <w:spacing w:after="0" w:line="240" w:lineRule="auto"/>
        <w:rPr>
          <w:rFonts w:ascii="Arial" w:eastAsia="Arial" w:hAnsi="Arial" w:cs="Arial"/>
          <w:b/>
        </w:rPr>
      </w:pPr>
    </w:p>
    <w:p>
      <w:pPr>
        <w:spacing w:after="0" w:line="240" w:lineRule="auto"/>
        <w:jc w:val="center"/>
        <w:rPr>
          <w:rFonts w:ascii="Arial" w:eastAsia="Arial" w:hAnsi="Arial" w:cs="Arial"/>
          <w:b/>
        </w:rPr>
      </w:pPr>
      <w:r>
        <w:rPr>
          <w:rFonts w:ascii="Arial" w:eastAsia="Arial" w:hAnsi="Arial" w:cs="Arial"/>
          <w:b/>
        </w:rPr>
        <w:t>ANEXO 2</w:t>
      </w:r>
    </w:p>
    <w:p>
      <w:pPr>
        <w:spacing w:after="0"/>
        <w:jc w:val="center"/>
        <w:rPr>
          <w:rFonts w:ascii="Arial" w:eastAsia="Arial" w:hAnsi="Arial" w:cs="Arial"/>
          <w:b/>
        </w:rPr>
      </w:pPr>
      <w:r>
        <w:rPr>
          <w:rFonts w:ascii="Arial" w:eastAsia="Arial" w:hAnsi="Arial" w:cs="Arial"/>
          <w:b/>
        </w:rPr>
        <w:t>COTIZACIÓN</w:t>
      </w:r>
    </w:p>
    <w:p>
      <w:pPr>
        <w:spacing w:after="0"/>
        <w:jc w:val="center"/>
        <w:rPr>
          <w:rFonts w:ascii="Arial" w:eastAsia="Arial" w:hAnsi="Arial" w:cs="Arial"/>
          <w:b/>
          <w:sz w:val="28"/>
          <w:szCs w:val="28"/>
        </w:rPr>
      </w:pPr>
      <w:r>
        <w:rPr>
          <w:rFonts w:ascii="Arial" w:eastAsia="Arial" w:hAnsi="Arial" w:cs="Arial"/>
          <w:b/>
        </w:rPr>
        <w:t>“BASES DE LICITACIÓN”</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INDAJO-018/2023</w:t>
      </w:r>
    </w:p>
    <w:p>
      <w:pPr>
        <w:spacing w:after="0" w:line="240" w:lineRule="auto"/>
        <w:jc w:val="center"/>
        <w:rPr>
          <w:rFonts w:ascii="Arial" w:eastAsia="Arial" w:hAnsi="Arial" w:cs="Arial"/>
          <w:b/>
          <w:sz w:val="24"/>
          <w:szCs w:val="24"/>
        </w:rPr>
      </w:pPr>
      <w:r>
        <w:rPr>
          <w:rFonts w:ascii="Arial" w:eastAsia="Arial" w:hAnsi="Arial" w:cs="Arial"/>
          <w:b/>
          <w:sz w:val="24"/>
          <w:szCs w:val="24"/>
        </w:rPr>
        <w:t>“MURALIZACIÓN DE ENTRADAS A LA CIUDAD E INTERVENCIONES ARTÍSTICAS EN EL MUNICIPIO DE TLAJOMULCO DE ZÚÑIGA, JALISCO”</w:t>
      </w:r>
    </w:p>
    <w:p>
      <w:pPr>
        <w:spacing w:after="0" w:line="240" w:lineRule="auto"/>
        <w:rPr>
          <w:rFonts w:ascii="Arial" w:eastAsia="Arial" w:hAnsi="Arial" w:cs="Arial"/>
          <w:b/>
          <w:sz w:val="24"/>
          <w:szCs w:val="24"/>
        </w:rPr>
      </w:pPr>
    </w:p>
    <w:p>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pPr>
        <w:spacing w:after="0" w:line="240" w:lineRule="auto"/>
        <w:rPr>
          <w:rFonts w:ascii="Arial" w:eastAsia="Arial" w:hAnsi="Arial" w:cs="Arial"/>
          <w:b/>
          <w:sz w:val="24"/>
          <w:szCs w:val="24"/>
        </w:rPr>
      </w:pPr>
      <w:r>
        <w:rPr>
          <w:rFonts w:ascii="Arial" w:eastAsia="Arial" w:hAnsi="Arial" w:cs="Arial"/>
          <w:b/>
          <w:sz w:val="24"/>
          <w:szCs w:val="24"/>
        </w:rPr>
        <w:t>PRESENTE:</w:t>
      </w:r>
    </w:p>
    <w:p>
      <w:pPr>
        <w:spacing w:after="0" w:line="240" w:lineRule="auto"/>
        <w:rPr>
          <w:rFonts w:ascii="Arial" w:eastAsia="Arial" w:hAnsi="Arial" w:cs="Arial"/>
          <w:b/>
          <w:sz w:val="24"/>
          <w:szCs w:val="24"/>
        </w:rPr>
      </w:pPr>
    </w:p>
    <w:tbl>
      <w:tblPr>
        <w:tblStyle w:val="af4"/>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1140"/>
        <w:gridCol w:w="1380"/>
        <w:gridCol w:w="4845"/>
        <w:gridCol w:w="1710"/>
      </w:tblGrid>
      <w:tr>
        <w:trPr>
          <w:trHeight w:val="390"/>
          <w:jc w:val="center"/>
        </w:trPr>
        <w:tc>
          <w:tcPr>
            <w:tcW w:w="99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pPr>
              <w:spacing w:after="240"/>
              <w:jc w:val="center"/>
              <w:rPr>
                <w:rFonts w:ascii="Arial" w:eastAsia="Arial" w:hAnsi="Arial" w:cs="Arial"/>
                <w:b/>
                <w:sz w:val="20"/>
                <w:szCs w:val="20"/>
              </w:rPr>
            </w:pPr>
            <w:r>
              <w:rPr>
                <w:rFonts w:ascii="Arial" w:eastAsia="Arial" w:hAnsi="Arial" w:cs="Arial"/>
                <w:b/>
                <w:sz w:val="20"/>
                <w:szCs w:val="20"/>
              </w:rPr>
              <w:t>Partida</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pPr>
              <w:spacing w:after="240"/>
              <w:jc w:val="center"/>
              <w:rPr>
                <w:rFonts w:ascii="Arial" w:eastAsia="Arial" w:hAnsi="Arial" w:cs="Arial"/>
                <w:b/>
                <w:sz w:val="20"/>
                <w:szCs w:val="20"/>
              </w:rPr>
            </w:pPr>
            <w:r>
              <w:rPr>
                <w:rFonts w:ascii="Arial" w:eastAsia="Arial" w:hAnsi="Arial" w:cs="Arial"/>
                <w:b/>
                <w:sz w:val="20"/>
                <w:szCs w:val="20"/>
              </w:rPr>
              <w:t>Cantidad</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pPr>
              <w:spacing w:after="240"/>
              <w:jc w:val="center"/>
              <w:rPr>
                <w:rFonts w:ascii="Arial" w:eastAsia="Arial" w:hAnsi="Arial" w:cs="Arial"/>
                <w:b/>
                <w:sz w:val="20"/>
                <w:szCs w:val="20"/>
              </w:rPr>
            </w:pPr>
            <w:r>
              <w:rPr>
                <w:rFonts w:ascii="Arial" w:eastAsia="Arial" w:hAnsi="Arial" w:cs="Arial"/>
                <w:b/>
                <w:sz w:val="20"/>
                <w:szCs w:val="20"/>
              </w:rPr>
              <w:t>Unidad de medida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pPr>
              <w:spacing w:after="240"/>
              <w:jc w:val="center"/>
              <w:rPr>
                <w:rFonts w:ascii="Arial" w:eastAsia="Arial" w:hAnsi="Arial" w:cs="Arial"/>
                <w:b/>
                <w:sz w:val="20"/>
                <w:szCs w:val="20"/>
              </w:rPr>
            </w:pPr>
            <w:r>
              <w:rPr>
                <w:rFonts w:ascii="Arial" w:eastAsia="Arial" w:hAnsi="Arial" w:cs="Arial"/>
                <w:b/>
                <w:sz w:val="20"/>
                <w:szCs w:val="20"/>
              </w:rPr>
              <w:t>Descripción</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pPr>
              <w:spacing w:before="240" w:after="240"/>
              <w:ind w:left="-120"/>
              <w:jc w:val="center"/>
              <w:rPr>
                <w:b/>
                <w:sz w:val="22"/>
                <w:szCs w:val="22"/>
              </w:rPr>
            </w:pPr>
            <w:r>
              <w:rPr>
                <w:b/>
                <w:sz w:val="22"/>
                <w:szCs w:val="22"/>
              </w:rPr>
              <w:t>PRECIO</w:t>
            </w:r>
          </w:p>
        </w:tc>
      </w:tr>
      <w:tr>
        <w:trPr>
          <w:trHeight w:val="306"/>
          <w:jc w:val="center"/>
        </w:trPr>
        <w:tc>
          <w:tcPr>
            <w:tcW w:w="99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sz w:val="20"/>
                <w:szCs w:val="20"/>
              </w:rPr>
            </w:pPr>
            <w:r>
              <w:rPr>
                <w:rFonts w:ascii="Arial" w:eastAsia="Arial" w:hAnsi="Arial" w:cs="Arial"/>
                <w:sz w:val="20"/>
                <w:szCs w:val="20"/>
              </w:rPr>
              <w:t>1</w:t>
            </w: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tc>
        <w:tc>
          <w:tcPr>
            <w:tcW w:w="11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rPr>
                <w:rFonts w:ascii="Arial" w:eastAsia="Arial" w:hAnsi="Arial" w:cs="Arial"/>
                <w:sz w:val="20"/>
                <w:szCs w:val="20"/>
              </w:rPr>
            </w:pPr>
            <w:r>
              <w:rPr>
                <w:rFonts w:ascii="Arial" w:eastAsia="Arial" w:hAnsi="Arial" w:cs="Arial"/>
                <w:sz w:val="20"/>
                <w:szCs w:val="20"/>
              </w:rPr>
              <w:lastRenderedPageBreak/>
              <w:t xml:space="preserve">      1</w:t>
            </w: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tc>
        <w:tc>
          <w:tcPr>
            <w:tcW w:w="138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jc w:val="center"/>
              <w:rPr>
                <w:rFonts w:ascii="Arial" w:eastAsia="Arial" w:hAnsi="Arial" w:cs="Arial"/>
                <w:sz w:val="20"/>
                <w:szCs w:val="20"/>
              </w:rPr>
            </w:pPr>
            <w:r>
              <w:rPr>
                <w:rFonts w:ascii="Arial" w:eastAsia="Arial" w:hAnsi="Arial" w:cs="Arial"/>
                <w:sz w:val="20"/>
                <w:szCs w:val="20"/>
              </w:rPr>
              <w:lastRenderedPageBreak/>
              <w:t>servicio</w:t>
            </w: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p>
            <w:pPr>
              <w:jc w:val="center"/>
              <w:rPr>
                <w:rFonts w:ascii="Arial" w:eastAsia="Arial" w:hAnsi="Arial" w:cs="Arial"/>
                <w:sz w:val="20"/>
                <w:szCs w:val="20"/>
              </w:rPr>
            </w:pPr>
          </w:p>
        </w:tc>
        <w:tc>
          <w:tcPr>
            <w:tcW w:w="48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pPr>
              <w:rPr>
                <w:noProof/>
              </w:rPr>
            </w:pPr>
            <w:r>
              <w:rPr>
                <w:noProof/>
              </w:rPr>
              <w:lastRenderedPageBreak/>
              <w:t>Honorarios de 10 artistas con cumplan los siguientes requisitos:</w:t>
            </w:r>
          </w:p>
          <w:p>
            <w:pPr>
              <w:numPr>
                <w:ilvl w:val="1"/>
                <w:numId w:val="7"/>
              </w:numPr>
              <w:rPr>
                <w:noProof/>
              </w:rPr>
            </w:pPr>
            <w:r>
              <w:rPr>
                <w:noProof/>
              </w:rPr>
              <w:t>Personas mayores de edad.</w:t>
            </w:r>
          </w:p>
          <w:p>
            <w:pPr>
              <w:numPr>
                <w:ilvl w:val="1"/>
                <w:numId w:val="7"/>
              </w:numPr>
              <w:rPr>
                <w:noProof/>
              </w:rPr>
            </w:pPr>
            <w:r>
              <w:rPr>
                <w:noProof/>
              </w:rPr>
              <w:t>Experiencia comprobable en la modalidad de Macro Mural-Graffiti</w:t>
            </w:r>
          </w:p>
          <w:p>
            <w:pPr>
              <w:numPr>
                <w:ilvl w:val="1"/>
                <w:numId w:val="7"/>
              </w:numPr>
              <w:rPr>
                <w:noProof/>
              </w:rPr>
            </w:pPr>
            <w:r>
              <w:rPr>
                <w:noProof/>
              </w:rPr>
              <w:t>Originarias o residentes de Jalisco.</w:t>
            </w:r>
          </w:p>
          <w:p>
            <w:pPr>
              <w:numPr>
                <w:ilvl w:val="1"/>
                <w:numId w:val="7"/>
              </w:numPr>
              <w:rPr>
                <w:noProof/>
              </w:rPr>
            </w:pPr>
            <w:r>
              <w:rPr>
                <w:noProof/>
              </w:rPr>
              <w:lastRenderedPageBreak/>
              <w:t xml:space="preserve">Se podrá participar de manera individual o colectiva al momento de las intervenciones artísticas. </w:t>
            </w:r>
          </w:p>
          <w:p>
            <w:pPr>
              <w:numPr>
                <w:ilvl w:val="1"/>
                <w:numId w:val="7"/>
              </w:numPr>
              <w:rPr>
                <w:noProof/>
              </w:rPr>
            </w:pPr>
            <w:r>
              <w:rPr>
                <w:noProof/>
              </w:rPr>
              <w:t>Los artistas seleccionados por el proveedor serán notificados de la temática y paleta de colores para el desarrollo de la propuesta artística y tendrán hasta 20 días hábiles para realizar las intervenciones artísticas una vez notificado el cronograma correspondiente.</w:t>
            </w:r>
          </w:p>
          <w:p>
            <w:pPr>
              <w:numPr>
                <w:ilvl w:val="0"/>
                <w:numId w:val="7"/>
              </w:numPr>
              <w:rPr>
                <w:noProof/>
              </w:rPr>
            </w:pPr>
            <w:r>
              <w:rPr>
                <w:noProof/>
              </w:rPr>
              <w:t xml:space="preserve">personas de apoyo con experiencia en trabajos de albañilería y pintura, mismas que serán asignadas por espacios conforme el cronograma correspondiente. </w:t>
            </w:r>
          </w:p>
          <w:p>
            <w:pPr>
              <w:rPr>
                <w:noProof/>
              </w:rPr>
            </w:pPr>
          </w:p>
          <w:p>
            <w:pPr>
              <w:rPr>
                <w:b/>
                <w:noProof/>
              </w:rPr>
            </w:pPr>
            <w:r>
              <w:rPr>
                <w:b/>
                <w:noProof/>
              </w:rPr>
              <w:t xml:space="preserve">Asimismo, que incluyan el siguiente material y maquinaria: </w:t>
            </w:r>
          </w:p>
          <w:p>
            <w:pPr>
              <w:numPr>
                <w:ilvl w:val="0"/>
                <w:numId w:val="7"/>
              </w:numPr>
              <w:rPr>
                <w:noProof/>
              </w:rPr>
            </w:pPr>
            <w:r>
              <w:rPr>
                <w:noProof/>
              </w:rPr>
              <w:t>81 Cubetas de 19 litros de Pintura vinílica con las siguientes características mínimas: 100% acrílica, acabado mate, rendimiento de 12 a 14 m²/, viscosidad de 100 - 125 Unidades Krebs al momento de envasado, tiempo de secado: a 25ºC (77ºF) y 50% de humedad relativa: La primera mano seca al tacto de 30 minutos. Para segunda mano 60 minutos.</w:t>
            </w:r>
          </w:p>
          <w:p>
            <w:pPr>
              <w:numPr>
                <w:ilvl w:val="0"/>
                <w:numId w:val="7"/>
              </w:numPr>
              <w:rPr>
                <w:noProof/>
              </w:rPr>
            </w:pPr>
            <w:r>
              <w:rPr>
                <w:noProof/>
              </w:rPr>
              <w:t>1,273 de pintura en aerosol para Graffiti con las siguientes características mínimas: Lata de 400 ml. pintura acrílica, acabado mate, con alto poder cubriente, con una variedad mínima de hasta 125 colores.</w:t>
            </w:r>
          </w:p>
          <w:p>
            <w:pPr>
              <w:numPr>
                <w:ilvl w:val="0"/>
                <w:numId w:val="7"/>
              </w:numPr>
              <w:rPr>
                <w:noProof/>
              </w:rPr>
            </w:pPr>
            <w:r>
              <w:rPr>
                <w:noProof/>
              </w:rPr>
              <w:t xml:space="preserve">40 cubetas de 19 litros de Sellador con las siguientes características mínimas: tipo vinil-acrilico, rendimiento teorico </w:t>
            </w:r>
            <w:r>
              <w:rPr>
                <w:noProof/>
              </w:rPr>
              <w:lastRenderedPageBreak/>
              <w:t>de 30-40 m2/L, tiempo de secado al tacto 30 minutos, viscosidad de 113-124 KU.</w:t>
            </w:r>
          </w:p>
          <w:p>
            <w:pPr>
              <w:numPr>
                <w:ilvl w:val="0"/>
                <w:numId w:val="7"/>
              </w:numPr>
              <w:rPr>
                <w:noProof/>
              </w:rPr>
            </w:pPr>
            <w:r>
              <w:rPr>
                <w:noProof/>
              </w:rPr>
              <w:t>Válvulas para aerosol: 250 piezas tipo fat cap, 250 piezas tipo astro fat y 300 piezas tipo skinny cap verde.</w:t>
            </w:r>
          </w:p>
          <w:p>
            <w:pPr>
              <w:numPr>
                <w:ilvl w:val="0"/>
                <w:numId w:val="7"/>
              </w:numPr>
              <w:rPr>
                <w:noProof/>
              </w:rPr>
            </w:pPr>
            <w:r>
              <w:rPr>
                <w:noProof/>
              </w:rPr>
              <w:t>Brochas para pintar, 20 piezas de 1”, 20 piezas de 2”, 20 piezas de 3” y 20 piezas de 4”, con las siguientes características: con filamentos sintéticos de alta durabilidad, forma de la cabeza angular para un acabado profesional.</w:t>
            </w:r>
          </w:p>
          <w:p>
            <w:pPr>
              <w:numPr>
                <w:ilvl w:val="0"/>
                <w:numId w:val="7"/>
              </w:numPr>
              <w:rPr>
                <w:noProof/>
              </w:rPr>
            </w:pPr>
            <w:r>
              <w:rPr>
                <w:noProof/>
              </w:rPr>
              <w:t>rodillos (maneral y felpa ultra rugoso) 60 grandes y 60 chicos.</w:t>
            </w:r>
          </w:p>
          <w:p>
            <w:pPr>
              <w:numPr>
                <w:ilvl w:val="0"/>
                <w:numId w:val="7"/>
              </w:numPr>
              <w:rPr>
                <w:noProof/>
              </w:rPr>
            </w:pPr>
            <w:r>
              <w:rPr>
                <w:noProof/>
              </w:rPr>
              <w:t>100 piezas de charolas de plástico para pintar de 14’’.</w:t>
            </w:r>
          </w:p>
          <w:p>
            <w:pPr>
              <w:numPr>
                <w:ilvl w:val="0"/>
                <w:numId w:val="7"/>
              </w:numPr>
              <w:rPr>
                <w:noProof/>
              </w:rPr>
            </w:pPr>
            <w:r>
              <w:rPr>
                <w:noProof/>
              </w:rPr>
              <w:t>100 piezas de Cintas de 1 ½ de baja adherencia, especial para recortes, bordes y líneas perfectas.</w:t>
            </w:r>
          </w:p>
          <w:p>
            <w:pPr>
              <w:numPr>
                <w:ilvl w:val="0"/>
                <w:numId w:val="7"/>
              </w:numPr>
              <w:rPr>
                <w:noProof/>
              </w:rPr>
            </w:pPr>
            <w:r>
              <w:rPr>
                <w:noProof/>
              </w:rPr>
              <w:t xml:space="preserve">30 piezas de tiralíneas de 30 metros. </w:t>
            </w:r>
          </w:p>
          <w:p>
            <w:pPr>
              <w:numPr>
                <w:ilvl w:val="0"/>
                <w:numId w:val="7"/>
              </w:numPr>
              <w:rPr>
                <w:noProof/>
              </w:rPr>
            </w:pPr>
            <w:r>
              <w:rPr>
                <w:noProof/>
              </w:rPr>
              <w:t>Arrendamiento de 1 Sprayadora (pulverizador mecánico a gasolina), por temporalidad de hasta 4 meses.</w:t>
            </w:r>
          </w:p>
          <w:p>
            <w:pPr>
              <w:numPr>
                <w:ilvl w:val="0"/>
                <w:numId w:val="7"/>
              </w:numPr>
              <w:rPr>
                <w:noProof/>
              </w:rPr>
            </w:pPr>
            <w:r>
              <w:rPr>
                <w:noProof/>
              </w:rPr>
              <w:t>Arrendamiento de 12 pisos de andamios completos con ruedas y plafones, por temporalidad de hasta 4 meses.</w:t>
            </w:r>
          </w:p>
          <w:p>
            <w:pPr>
              <w:numPr>
                <w:ilvl w:val="0"/>
                <w:numId w:val="7"/>
              </w:numPr>
              <w:rPr>
                <w:noProof/>
              </w:rPr>
            </w:pPr>
            <w:r>
              <w:rPr>
                <w:noProof/>
              </w:rPr>
              <w:t>Arrendamiento de 2 grúas de gasolina, con brazo telescópico articulado de 15 metros, por temporalidad de hasta 4 meses.</w:t>
            </w:r>
          </w:p>
          <w:p>
            <w:pPr>
              <w:rPr>
                <w:noProof/>
              </w:rPr>
            </w:pPr>
          </w:p>
          <w:p>
            <w:pPr>
              <w:rPr>
                <w:noProof/>
              </w:rPr>
            </w:pPr>
            <w:r>
              <w:rPr>
                <w:noProof/>
              </w:rPr>
              <w:lastRenderedPageBreak/>
              <w:drawing>
                <wp:anchor distT="0" distB="0" distL="114300" distR="114300" simplePos="0" relativeHeight="251681792" behindDoc="0" locked="0" layoutInCell="1" allowOverlap="1">
                  <wp:simplePos x="0" y="0"/>
                  <wp:positionH relativeFrom="column">
                    <wp:posOffset>79375</wp:posOffset>
                  </wp:positionH>
                  <wp:positionV relativeFrom="page">
                    <wp:posOffset>3847465</wp:posOffset>
                  </wp:positionV>
                  <wp:extent cx="2609850" cy="23628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2362835"/>
                          </a:xfrm>
                          <a:prstGeom prst="rect">
                            <a:avLst/>
                          </a:prstGeom>
                          <a:noFill/>
                        </pic:spPr>
                      </pic:pic>
                    </a:graphicData>
                  </a:graphic>
                  <wp14:sizeRelH relativeFrom="page">
                    <wp14:pctWidth>0</wp14:pctWidth>
                  </wp14:sizeRelH>
                  <wp14:sizeRelV relativeFrom="page">
                    <wp14:pctHeight>0</wp14:pctHeight>
                  </wp14:sizeRelV>
                </wp:anchor>
              </w:drawing>
            </w:r>
            <w:r>
              <w:rPr>
                <w:noProof/>
              </w:rPr>
              <w:t>La siguiente tabla presenta las Cedes para las intervenciones artísticas (sujeto a posibles cambios mismo que se notificaran con 10 días naturales de anticipación)</w:t>
            </w:r>
          </w:p>
          <w:p>
            <w:pPr>
              <w:rPr>
                <w:rFonts w:ascii="Arial" w:eastAsia="Arial" w:hAnsi="Arial" w:cs="Arial"/>
                <w:sz w:val="20"/>
                <w:szCs w:val="20"/>
              </w:rPr>
            </w:pPr>
          </w:p>
          <w:p>
            <w:pPr>
              <w:rPr>
                <w:rFonts w:ascii="Arial" w:eastAsia="Arial" w:hAnsi="Arial" w:cs="Arial"/>
                <w:sz w:val="20"/>
                <w:szCs w:val="20"/>
              </w:rPr>
            </w:pPr>
          </w:p>
          <w:p>
            <w:pPr>
              <w:rPr>
                <w:rFonts w:ascii="Arial" w:eastAsia="Arial" w:hAnsi="Arial" w:cs="Arial"/>
                <w:sz w:val="20"/>
                <w:szCs w:val="20"/>
              </w:rPr>
            </w:pPr>
          </w:p>
          <w:p>
            <w:pPr>
              <w:rPr>
                <w:rFonts w:ascii="Arial" w:eastAsia="Arial" w:hAnsi="Arial" w:cs="Arial"/>
                <w:sz w:val="20"/>
                <w:szCs w:val="20"/>
              </w:rPr>
            </w:pP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pPr>
              <w:spacing w:before="240" w:after="240"/>
              <w:ind w:left="-120"/>
              <w:jc w:val="center"/>
              <w:rPr>
                <w:b/>
              </w:rPr>
            </w:pPr>
          </w:p>
        </w:tc>
      </w:tr>
      <w:tr>
        <w:trPr>
          <w:jc w:val="center"/>
        </w:trPr>
        <w:tc>
          <w:tcPr>
            <w:tcW w:w="99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spacing w:before="240" w:after="3600"/>
              <w:ind w:left="57"/>
              <w:jc w:val="center"/>
              <w:rPr>
                <w:rFonts w:ascii="Arial" w:eastAsia="Arial" w:hAnsi="Arial" w:cs="Arial"/>
                <w:sz w:val="20"/>
                <w:szCs w:val="20"/>
              </w:rPr>
            </w:pPr>
            <w:r>
              <w:rPr>
                <w:rFonts w:ascii="Arial" w:eastAsia="Arial" w:hAnsi="Arial" w:cs="Arial"/>
                <w:sz w:val="20"/>
                <w:szCs w:val="20"/>
              </w:rPr>
              <w:lastRenderedPageBreak/>
              <w:t>2</w:t>
            </w:r>
          </w:p>
        </w:tc>
        <w:tc>
          <w:tcPr>
            <w:tcW w:w="11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spacing w:after="3600"/>
              <w:ind w:left="57"/>
              <w:jc w:val="center"/>
              <w:rPr>
                <w:rFonts w:ascii="Arial" w:eastAsia="Arial" w:hAnsi="Arial" w:cs="Arial"/>
                <w:sz w:val="20"/>
                <w:szCs w:val="20"/>
              </w:rPr>
            </w:pPr>
            <w:r>
              <w:rPr>
                <w:rFonts w:ascii="Arial" w:eastAsia="Arial" w:hAnsi="Arial" w:cs="Arial"/>
                <w:sz w:val="20"/>
                <w:szCs w:val="20"/>
              </w:rPr>
              <w:t>15</w:t>
            </w:r>
          </w:p>
        </w:tc>
        <w:tc>
          <w:tcPr>
            <w:tcW w:w="138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pPr>
              <w:spacing w:after="3600"/>
              <w:ind w:left="57"/>
              <w:jc w:val="center"/>
              <w:rPr>
                <w:rFonts w:ascii="Arial" w:eastAsia="Arial" w:hAnsi="Arial" w:cs="Arial"/>
                <w:sz w:val="20"/>
                <w:szCs w:val="20"/>
              </w:rPr>
            </w:pPr>
            <w:r>
              <w:rPr>
                <w:rFonts w:ascii="Arial" w:eastAsia="Arial" w:hAnsi="Arial" w:cs="Arial"/>
                <w:sz w:val="20"/>
                <w:szCs w:val="20"/>
              </w:rPr>
              <w:t>servicios</w:t>
            </w:r>
          </w:p>
        </w:tc>
        <w:tc>
          <w:tcPr>
            <w:tcW w:w="48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pPr>
              <w:rPr>
                <w:rFonts w:ascii="Arial" w:eastAsia="Arial" w:hAnsi="Arial" w:cs="Arial"/>
                <w:sz w:val="20"/>
                <w:szCs w:val="20"/>
              </w:rPr>
            </w:pPr>
            <w:r>
              <w:rPr>
                <w:rFonts w:ascii="Arial" w:eastAsia="Arial" w:hAnsi="Arial" w:cs="Arial"/>
                <w:b/>
                <w:szCs w:val="20"/>
              </w:rPr>
              <w:t>Intervenciones artísticas</w:t>
            </w:r>
            <w:r>
              <w:rPr>
                <w:rFonts w:ascii="Arial" w:eastAsia="Arial" w:hAnsi="Arial" w:cs="Arial"/>
                <w:sz w:val="20"/>
                <w:szCs w:val="20"/>
              </w:rPr>
              <w:t xml:space="preserve"> equivalentes aproximadamente a 5,800 M2.  mismos que distribuirán en 15 intervenciones: </w:t>
            </w:r>
          </w:p>
          <w:p>
            <w:pPr>
              <w:rPr>
                <w:rFonts w:ascii="Arial" w:eastAsia="Arial" w:hAnsi="Arial" w:cs="Arial"/>
                <w:sz w:val="20"/>
                <w:szCs w:val="20"/>
              </w:rPr>
            </w:pPr>
          </w:p>
          <w:p>
            <w:pPr>
              <w:numPr>
                <w:ilvl w:val="0"/>
                <w:numId w:val="7"/>
              </w:numPr>
              <w:spacing w:after="160" w:line="259" w:lineRule="auto"/>
              <w:rPr>
                <w:rFonts w:ascii="Arial" w:eastAsia="Arial" w:hAnsi="Arial" w:cs="Arial"/>
                <w:sz w:val="20"/>
                <w:szCs w:val="20"/>
              </w:rPr>
            </w:pPr>
            <w:r>
              <w:rPr>
                <w:rFonts w:ascii="Arial" w:eastAsia="Arial" w:hAnsi="Arial" w:cs="Arial"/>
                <w:sz w:val="20"/>
                <w:szCs w:val="20"/>
              </w:rPr>
              <w:t>Honorarios de 10 artistas que cumplan los siguientes requisitos:</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Personas mayores de edad.</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Experiencia comprobable en intervenciones artísticas</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Originarias o residentes de Jalisco.</w:t>
            </w:r>
          </w:p>
          <w:p>
            <w:pPr>
              <w:numPr>
                <w:ilvl w:val="1"/>
                <w:numId w:val="7"/>
              </w:numPr>
              <w:spacing w:after="160" w:line="259" w:lineRule="auto"/>
              <w:rPr>
                <w:rFonts w:ascii="Arial" w:eastAsia="Arial" w:hAnsi="Arial" w:cs="Arial"/>
                <w:sz w:val="20"/>
                <w:szCs w:val="20"/>
              </w:rPr>
            </w:pPr>
            <w:r>
              <w:rPr>
                <w:rFonts w:ascii="Arial" w:eastAsia="Arial" w:hAnsi="Arial" w:cs="Arial"/>
                <w:sz w:val="20"/>
                <w:szCs w:val="20"/>
              </w:rPr>
              <w:t xml:space="preserve">Realizar propuestas de acuerdo a la temática asignada mediante el cronograma de intervenciones artísticas. </w:t>
            </w:r>
          </w:p>
          <w:p>
            <w:pPr>
              <w:ind w:left="720"/>
              <w:rPr>
                <w:rFonts w:ascii="Arial" w:eastAsia="Arial" w:hAnsi="Arial" w:cs="Arial"/>
                <w:b/>
                <w:sz w:val="20"/>
                <w:szCs w:val="20"/>
              </w:rPr>
            </w:pPr>
            <w:r>
              <w:rPr>
                <w:rFonts w:ascii="Arial" w:eastAsia="Arial" w:hAnsi="Arial" w:cs="Arial"/>
                <w:b/>
                <w:sz w:val="20"/>
                <w:szCs w:val="20"/>
              </w:rPr>
              <w:t xml:space="preserve">Asimismo, que incluyan el siguiente material: </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73 Cubetas de 19 litros de Pintura vinílica con las siguientes características mínimas: 100% acrílica, acabado mate, rendimiento de 12 a 14 m²/, viscosidad de 100 - 125 Unidades Krebs al momento de envasado, tiempo de secado: a 25ºC (77ºF) y 50% de humedad relativa: La primera mano seca al tacto de 30 minutos. Para segunda mano 60 minutos.</w:t>
            </w:r>
          </w:p>
          <w:p>
            <w:pPr>
              <w:numPr>
                <w:ilvl w:val="0"/>
                <w:numId w:val="7"/>
              </w:numPr>
              <w:spacing w:after="160" w:line="259" w:lineRule="auto"/>
              <w:rPr>
                <w:rFonts w:ascii="Arial" w:eastAsia="Arial" w:hAnsi="Arial" w:cs="Arial"/>
                <w:sz w:val="20"/>
                <w:szCs w:val="20"/>
              </w:rPr>
            </w:pPr>
            <w:r>
              <w:rPr>
                <w:rFonts w:ascii="Arial" w:eastAsia="Arial" w:hAnsi="Arial" w:cs="Arial"/>
                <w:sz w:val="20"/>
                <w:szCs w:val="20"/>
              </w:rPr>
              <w:t>1,020 de pintura en aerosol para Graffiti con las siguientes características mínimas: Lata de 400 ml. Pintura acrílica, acabado mate, con alto poder cubriente, con una variedad mínima de hasta 125 colores.</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40 cubetas de 19 litros de Sellador con las siguientes características mínimas: tipo vinil-acrilico, rendimiento teorico de 30-40 m2/L, tiempo de secado al tacto 30 minutos, viscosidad de 113-124 KU.</w:t>
            </w:r>
          </w:p>
          <w:p>
            <w:pPr>
              <w:numPr>
                <w:ilvl w:val="0"/>
                <w:numId w:val="7"/>
              </w:numPr>
              <w:spacing w:after="160" w:line="259" w:lineRule="auto"/>
              <w:jc w:val="both"/>
              <w:rPr>
                <w:rFonts w:ascii="Arial" w:eastAsia="Arial" w:hAnsi="Arial" w:cs="Arial"/>
                <w:b/>
                <w:sz w:val="20"/>
                <w:szCs w:val="20"/>
              </w:rPr>
            </w:pPr>
            <w:r>
              <w:rPr>
                <w:rFonts w:ascii="Arial" w:eastAsia="Arial" w:hAnsi="Arial" w:cs="Arial"/>
                <w:b/>
                <w:sz w:val="20"/>
                <w:szCs w:val="20"/>
              </w:rPr>
              <w:t xml:space="preserve">Herramientas menores: </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Válvulas para aerosol: 100 piezas tipo fat cap, 100 piezas tipo astro fat y 200 piezas tipo skinny cap verde.</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Brochas para pintar,</w:t>
            </w:r>
            <w:r>
              <w:rPr>
                <w:color w:val="4A4A4A"/>
              </w:rPr>
              <w:t xml:space="preserve"> </w:t>
            </w:r>
            <w:r>
              <w:rPr>
                <w:rFonts w:ascii="Arial" w:eastAsia="Arial" w:hAnsi="Arial" w:cs="Arial"/>
                <w:sz w:val="20"/>
                <w:szCs w:val="20"/>
              </w:rPr>
              <w:t xml:space="preserve">10 piezas de 1”,10 piezas de 2”, 10 piezas de 3” y 10 piezas de </w:t>
            </w:r>
            <w:r>
              <w:rPr>
                <w:rFonts w:ascii="Arial" w:eastAsia="Arial" w:hAnsi="Arial" w:cs="Arial"/>
                <w:sz w:val="20"/>
                <w:szCs w:val="20"/>
              </w:rPr>
              <w:lastRenderedPageBreak/>
              <w:t>4”, con las siguientes características: con filamentos sintéticos de alta durabilidad, forma de la cabeza angular para un acabado profesional.</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rodillos (maneral y felpa ultra rugoso)  20 grandes y 20 chicos.</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40 piezas de charolas de plástico para pintar de 14’’.</w:t>
            </w:r>
          </w:p>
          <w:p>
            <w:pPr>
              <w:numPr>
                <w:ilvl w:val="0"/>
                <w:numId w:val="7"/>
              </w:numPr>
              <w:spacing w:after="160" w:line="259" w:lineRule="auto"/>
              <w:jc w:val="both"/>
              <w:rPr>
                <w:rFonts w:ascii="Arial" w:eastAsia="Arial" w:hAnsi="Arial" w:cs="Arial"/>
                <w:sz w:val="20"/>
                <w:szCs w:val="20"/>
              </w:rPr>
            </w:pPr>
            <w:r>
              <w:rPr>
                <w:rFonts w:ascii="Arial" w:eastAsia="Arial" w:hAnsi="Arial" w:cs="Arial"/>
                <w:sz w:val="20"/>
                <w:szCs w:val="20"/>
              </w:rPr>
              <w:t>30 piezas de Cintas de 1 ½ de baja adherencia, especial para recortes, bordes y líneas perfectas.</w:t>
            </w:r>
          </w:p>
          <w:p>
            <w:pPr>
              <w:numPr>
                <w:ilvl w:val="0"/>
                <w:numId w:val="7"/>
              </w:numPr>
              <w:rPr>
                <w:rFonts w:ascii="Arial" w:eastAsia="Arial" w:hAnsi="Arial" w:cs="Arial"/>
                <w:sz w:val="20"/>
                <w:szCs w:val="20"/>
              </w:rPr>
            </w:pPr>
            <w:r>
              <w:rPr>
                <w:rFonts w:ascii="Arial" w:eastAsia="Arial" w:hAnsi="Arial" w:cs="Arial"/>
                <w:sz w:val="20"/>
                <w:szCs w:val="20"/>
              </w:rPr>
              <w:t>10 piezas de tiralíneas de 30 metros.</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pPr>
              <w:spacing w:before="240" w:after="240"/>
              <w:ind w:left="-120"/>
              <w:jc w:val="center"/>
              <w:rPr>
                <w:b/>
              </w:rPr>
            </w:pPr>
          </w:p>
        </w:tc>
      </w:tr>
      <w:tr>
        <w:trPr>
          <w:jc w:val="center"/>
        </w:trPr>
        <w:tc>
          <w:tcPr>
            <w:tcW w:w="990" w:type="dxa"/>
            <w:tcBorders>
              <w:top w:val="single" w:sz="4" w:space="0" w:color="000000"/>
              <w:left w:val="nil"/>
              <w:bottom w:val="nil"/>
              <w:right w:val="nil"/>
            </w:tcBorders>
            <w:tcMar>
              <w:top w:w="0" w:type="dxa"/>
              <w:left w:w="0" w:type="dxa"/>
              <w:bottom w:w="0" w:type="dxa"/>
              <w:right w:w="0" w:type="dxa"/>
            </w:tcMar>
          </w:tcPr>
          <w:p>
            <w:pPr>
              <w:spacing w:before="240" w:after="240"/>
              <w:ind w:left="-120"/>
              <w:jc w:val="center"/>
            </w:pPr>
          </w:p>
        </w:tc>
        <w:tc>
          <w:tcPr>
            <w:tcW w:w="1140" w:type="dxa"/>
            <w:tcBorders>
              <w:top w:val="single" w:sz="4" w:space="0" w:color="000000"/>
              <w:left w:val="nil"/>
              <w:bottom w:val="nil"/>
              <w:right w:val="nil"/>
            </w:tcBorders>
            <w:tcMar>
              <w:top w:w="0" w:type="dxa"/>
              <w:left w:w="0" w:type="dxa"/>
              <w:bottom w:w="0" w:type="dxa"/>
              <w:right w:w="0" w:type="dxa"/>
            </w:tcMar>
          </w:tcPr>
          <w:p>
            <w:pPr>
              <w:spacing w:before="240" w:after="240"/>
              <w:ind w:left="-120"/>
              <w:jc w:val="center"/>
            </w:pPr>
          </w:p>
        </w:tc>
        <w:tc>
          <w:tcPr>
            <w:tcW w:w="1380" w:type="dxa"/>
            <w:tcBorders>
              <w:top w:val="single" w:sz="4" w:space="0" w:color="000000"/>
              <w:left w:val="nil"/>
              <w:bottom w:val="nil"/>
              <w:right w:val="single" w:sz="4" w:space="0" w:color="000000"/>
            </w:tcBorders>
            <w:tcMar>
              <w:top w:w="0" w:type="dxa"/>
              <w:left w:w="0" w:type="dxa"/>
              <w:bottom w:w="0" w:type="dxa"/>
              <w:right w:w="0" w:type="dxa"/>
            </w:tcMar>
          </w:tcPr>
          <w:p>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40" w:after="240"/>
              <w:ind w:left="-120"/>
              <w:jc w:val="right"/>
              <w:rPr>
                <w:b/>
              </w:rPr>
            </w:pPr>
            <w:r>
              <w:rPr>
                <w:b/>
              </w:rPr>
              <w:t>SUBTOTAL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pPr>
              <w:spacing w:before="240" w:after="240"/>
              <w:ind w:left="-120"/>
              <w:jc w:val="center"/>
              <w:rPr>
                <w:b/>
              </w:rPr>
            </w:pPr>
          </w:p>
        </w:tc>
      </w:tr>
      <w:tr>
        <w:trPr>
          <w:trHeight w:val="391"/>
          <w:jc w:val="center"/>
        </w:trPr>
        <w:tc>
          <w:tcPr>
            <w:tcW w:w="990" w:type="dxa"/>
            <w:tcBorders>
              <w:top w:val="nil"/>
              <w:left w:val="nil"/>
              <w:bottom w:val="nil"/>
              <w:right w:val="nil"/>
            </w:tcBorders>
            <w:tcMar>
              <w:top w:w="0" w:type="dxa"/>
              <w:left w:w="0" w:type="dxa"/>
              <w:bottom w:w="0" w:type="dxa"/>
              <w:right w:w="0" w:type="dxa"/>
            </w:tcMar>
            <w:vAlign w:val="center"/>
          </w:tcPr>
          <w:p>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40" w:after="240"/>
              <w:ind w:left="-120"/>
              <w:jc w:val="right"/>
              <w:rPr>
                <w:b/>
              </w:rPr>
            </w:pPr>
            <w:r>
              <w:rPr>
                <w:b/>
              </w:rPr>
              <w:t>IVA</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pPr>
              <w:spacing w:before="240" w:after="240"/>
              <w:ind w:left="-120"/>
              <w:jc w:val="center"/>
              <w:rPr>
                <w:b/>
              </w:rPr>
            </w:pPr>
          </w:p>
        </w:tc>
      </w:tr>
      <w:tr>
        <w:trPr>
          <w:jc w:val="center"/>
        </w:trPr>
        <w:tc>
          <w:tcPr>
            <w:tcW w:w="990" w:type="dxa"/>
            <w:tcBorders>
              <w:top w:val="nil"/>
              <w:left w:val="nil"/>
              <w:bottom w:val="nil"/>
              <w:right w:val="nil"/>
            </w:tcBorders>
            <w:tcMar>
              <w:top w:w="0" w:type="dxa"/>
              <w:left w:w="0" w:type="dxa"/>
              <w:bottom w:w="0" w:type="dxa"/>
              <w:right w:w="0" w:type="dxa"/>
            </w:tcMar>
            <w:vAlign w:val="center"/>
          </w:tcPr>
          <w:p>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40" w:after="240"/>
              <w:ind w:left="-120"/>
              <w:jc w:val="right"/>
              <w:rPr>
                <w:b/>
              </w:rPr>
            </w:pPr>
            <w:r>
              <w:rPr>
                <w:b/>
              </w:rPr>
              <w:t>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pPr>
              <w:spacing w:before="240" w:after="240"/>
              <w:ind w:left="-120"/>
              <w:jc w:val="center"/>
              <w:rPr>
                <w:b/>
              </w:rPr>
            </w:pPr>
          </w:p>
        </w:tc>
      </w:tr>
    </w:tbl>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pPr>
        <w:spacing w:after="0"/>
        <w:jc w:val="both"/>
        <w:rPr>
          <w:rFonts w:ascii="Arial" w:eastAsia="Arial" w:hAnsi="Arial" w:cs="Arial"/>
          <w:sz w:val="20"/>
          <w:szCs w:val="20"/>
        </w:rPr>
      </w:pPr>
    </w:p>
    <w:p>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Pr>
          <w:rFonts w:ascii="Arial" w:eastAsia="Arial" w:hAnsi="Arial" w:cs="Arial"/>
          <w:b/>
          <w:sz w:val="20"/>
          <w:szCs w:val="20"/>
        </w:rPr>
        <w:t>INDAJO-018/2023 “MURALIZACIÓN DE ENTRADAS A LA CIUDAD E INTERVENCIONES ARTÍSTICAS EN EL MUNICIPIO DE TLAJOMULCO DE ZÚÑIGA, JALISCO”</w:t>
      </w:r>
    </w:p>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pPr>
        <w:spacing w:after="0"/>
        <w:jc w:val="both"/>
        <w:rPr>
          <w:rFonts w:ascii="Arial" w:eastAsia="Arial" w:hAnsi="Arial" w:cs="Arial"/>
          <w:sz w:val="20"/>
          <w:szCs w:val="20"/>
        </w:rPr>
      </w:pPr>
    </w:p>
    <w:p>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pPr>
        <w:spacing w:after="0"/>
        <w:jc w:val="both"/>
        <w:rPr>
          <w:rFonts w:ascii="Arial" w:eastAsia="Arial" w:hAnsi="Arial" w:cs="Arial"/>
          <w:sz w:val="20"/>
          <w:szCs w:val="20"/>
        </w:rPr>
      </w:pPr>
    </w:p>
    <w:p>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w:t>
      </w:r>
      <w:r>
        <w:rPr>
          <w:rFonts w:ascii="Arial" w:eastAsia="Arial" w:hAnsi="Arial" w:cs="Arial"/>
          <w:b/>
          <w:sz w:val="20"/>
          <w:szCs w:val="20"/>
        </w:rPr>
        <w:lastRenderedPageBreak/>
        <w:t>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pPr>
        <w:spacing w:after="0" w:line="240" w:lineRule="auto"/>
        <w:rPr>
          <w:rFonts w:ascii="Arial" w:eastAsia="Arial" w:hAnsi="Arial" w:cs="Arial"/>
          <w:sz w:val="18"/>
          <w:szCs w:val="18"/>
        </w:rPr>
      </w:pPr>
    </w:p>
    <w:p>
      <w:pPr>
        <w:spacing w:after="0" w:line="240" w:lineRule="auto"/>
        <w:rPr>
          <w:rFonts w:ascii="Arial" w:eastAsia="Arial" w:hAnsi="Arial" w:cs="Arial"/>
          <w:sz w:val="18"/>
          <w:szCs w:val="18"/>
        </w:rPr>
      </w:pPr>
    </w:p>
    <w:p>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pPr>
        <w:spacing w:after="0"/>
        <w:rPr>
          <w:rFonts w:ascii="Arial" w:eastAsia="Arial" w:hAnsi="Arial" w:cs="Arial"/>
          <w:sz w:val="18"/>
          <w:szCs w:val="18"/>
        </w:rPr>
      </w:pPr>
      <w:r>
        <w:rPr>
          <w:rFonts w:ascii="Arial" w:eastAsia="Arial" w:hAnsi="Arial" w:cs="Arial"/>
          <w:sz w:val="18"/>
          <w:szCs w:val="18"/>
        </w:rPr>
        <w:t>y/o su Representante Legal.</w:t>
      </w: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INDAJO-018/2023</w:t>
      </w:r>
    </w:p>
    <w:p>
      <w:pPr>
        <w:spacing w:after="0" w:line="240" w:lineRule="auto"/>
        <w:jc w:val="center"/>
        <w:rPr>
          <w:rFonts w:ascii="Arial" w:eastAsia="Arial" w:hAnsi="Arial" w:cs="Arial"/>
          <w:b/>
          <w:sz w:val="24"/>
          <w:szCs w:val="24"/>
        </w:rPr>
      </w:pPr>
      <w:r>
        <w:rPr>
          <w:rFonts w:ascii="Arial" w:eastAsia="Arial" w:hAnsi="Arial" w:cs="Arial"/>
          <w:b/>
          <w:sz w:val="24"/>
          <w:szCs w:val="24"/>
        </w:rPr>
        <w:t>“MURALIZACIÓN DE ENTRADAS A LA CIUDAD E INTERVENCIONES ARTÍSTICAS EN EL MUNICIPIO DE TLAJOMULCO DE ZÚÑIGA, JALISCO”</w:t>
      </w:r>
    </w:p>
    <w:p>
      <w:pPr>
        <w:pBdr>
          <w:top w:val="nil"/>
          <w:left w:val="nil"/>
          <w:bottom w:val="nil"/>
          <w:right w:val="nil"/>
          <w:between w:val="nil"/>
        </w:pBdr>
        <w:spacing w:after="0" w:line="240" w:lineRule="auto"/>
        <w:rPr>
          <w:rFonts w:ascii="Arial" w:eastAsia="Arial" w:hAnsi="Arial" w:cs="Arial"/>
          <w:b/>
          <w:color w:val="000000"/>
        </w:rPr>
      </w:pPr>
    </w:p>
    <w:p>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pPr>
        <w:spacing w:after="0"/>
        <w:jc w:val="both"/>
        <w:rPr>
          <w:rFonts w:ascii="Arial" w:eastAsia="Arial" w:hAnsi="Arial" w:cs="Arial"/>
          <w:b/>
        </w:rPr>
      </w:pPr>
      <w:r>
        <w:rPr>
          <w:rFonts w:ascii="Arial" w:eastAsia="Arial" w:hAnsi="Arial" w:cs="Arial"/>
          <w:b/>
        </w:rPr>
        <w:t>PRESENTE</w:t>
      </w:r>
    </w:p>
    <w:p>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trPr>
          <w:cantSplit/>
        </w:trPr>
        <w:tc>
          <w:tcPr>
            <w:tcW w:w="10270" w:type="dxa"/>
            <w:gridSpan w:val="3"/>
          </w:tcPr>
          <w:p>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trPr>
          <w:cantSplit/>
          <w:trHeight w:val="92"/>
        </w:trPr>
        <w:tc>
          <w:tcPr>
            <w:tcW w:w="10270" w:type="dxa"/>
            <w:gridSpan w:val="3"/>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trPr>
          <w:cantSplit/>
        </w:trPr>
        <w:tc>
          <w:tcPr>
            <w:tcW w:w="10270" w:type="dxa"/>
            <w:gridSpan w:val="3"/>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trPr>
          <w:cantSplit/>
        </w:trPr>
        <w:tc>
          <w:tcPr>
            <w:tcW w:w="10270" w:type="dxa"/>
            <w:gridSpan w:val="3"/>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trPr>
          <w:trHeight w:val="55"/>
        </w:trPr>
        <w:tc>
          <w:tcPr>
            <w:tcW w:w="4111"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tc>
          <w:tcPr>
            <w:tcW w:w="4111"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pPr>
              <w:widowControl/>
              <w:pBdr>
                <w:top w:val="nil"/>
                <w:left w:val="nil"/>
                <w:bottom w:val="nil"/>
                <w:right w:val="nil"/>
                <w:between w:val="nil"/>
              </w:pBdr>
              <w:jc w:val="both"/>
              <w:rPr>
                <w:rFonts w:ascii="Arial" w:eastAsia="Arial" w:hAnsi="Arial" w:cs="Arial"/>
                <w:color w:val="000000"/>
                <w:sz w:val="22"/>
                <w:szCs w:val="22"/>
              </w:rPr>
            </w:pPr>
          </w:p>
        </w:tc>
      </w:tr>
      <w:tr>
        <w:tc>
          <w:tcPr>
            <w:tcW w:w="4111"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trPr>
          <w:cantSplit/>
          <w:trHeight w:val="235"/>
        </w:trPr>
        <w:tc>
          <w:tcPr>
            <w:tcW w:w="10270" w:type="dxa"/>
            <w:gridSpan w:val="3"/>
            <w:tcBorders>
              <w:left w:val="single" w:sz="4" w:space="0" w:color="000000"/>
              <w:right w:val="single" w:sz="4" w:space="0" w:color="000000"/>
            </w:tcBorders>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p>
        </w:tc>
      </w:tr>
      <w:tr>
        <w:trPr>
          <w:cantSplit/>
          <w:trHeight w:val="2436"/>
        </w:trPr>
        <w:tc>
          <w:tcPr>
            <w:tcW w:w="10270" w:type="dxa"/>
            <w:gridSpan w:val="3"/>
            <w:vAlign w:val="center"/>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Para Personas Morales:</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pPr>
              <w:widowControl/>
              <w:pBdr>
                <w:top w:val="nil"/>
                <w:left w:val="nil"/>
                <w:bottom w:val="nil"/>
                <w:right w:val="nil"/>
                <w:between w:val="nil"/>
              </w:pBdr>
              <w:jc w:val="both"/>
              <w:rPr>
                <w:rFonts w:ascii="Arial" w:eastAsia="Arial" w:hAnsi="Arial" w:cs="Arial"/>
                <w:color w:val="000000"/>
                <w:sz w:val="22"/>
                <w:szCs w:val="22"/>
              </w:rPr>
            </w:pP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pPr>
              <w:widowControl/>
              <w:pBdr>
                <w:top w:val="nil"/>
                <w:left w:val="nil"/>
                <w:bottom w:val="nil"/>
                <w:right w:val="nil"/>
                <w:between w:val="nil"/>
              </w:pBdr>
              <w:jc w:val="both"/>
              <w:rPr>
                <w:rFonts w:ascii="Arial" w:eastAsia="Arial" w:hAnsi="Arial" w:cs="Arial"/>
                <w:color w:val="000000"/>
                <w:sz w:val="22"/>
                <w:szCs w:val="22"/>
              </w:rPr>
            </w:pP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trPr>
          <w:cantSplit/>
          <w:trHeight w:val="219"/>
        </w:trPr>
        <w:tc>
          <w:tcPr>
            <w:tcW w:w="10270" w:type="dxa"/>
            <w:gridSpan w:val="3"/>
            <w:tcBorders>
              <w:left w:val="single" w:sz="4" w:space="0" w:color="000000"/>
              <w:right w:val="single" w:sz="4" w:space="0" w:color="000000"/>
            </w:tcBorders>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p>
        </w:tc>
      </w:tr>
      <w:tr>
        <w:trPr>
          <w:cantSplit/>
          <w:trHeight w:val="1134"/>
        </w:trPr>
        <w:tc>
          <w:tcPr>
            <w:tcW w:w="426" w:type="dxa"/>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pPr>
              <w:widowControl/>
              <w:pBdr>
                <w:top w:val="nil"/>
                <w:left w:val="nil"/>
                <w:bottom w:val="nil"/>
                <w:right w:val="nil"/>
                <w:between w:val="nil"/>
              </w:pBdr>
              <w:jc w:val="both"/>
              <w:rPr>
                <w:rFonts w:ascii="Arial" w:eastAsia="Arial" w:hAnsi="Arial" w:cs="Arial"/>
                <w:color w:val="000000"/>
                <w:sz w:val="22"/>
                <w:szCs w:val="22"/>
              </w:rPr>
            </w:pP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trPr>
          <w:cantSplit/>
          <w:trHeight w:val="1175"/>
        </w:trPr>
        <w:tc>
          <w:tcPr>
            <w:tcW w:w="426" w:type="dxa"/>
            <w:shd w:val="clear" w:color="auto" w:fill="000000"/>
            <w:vAlign w:val="center"/>
          </w:tcPr>
          <w:p>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9E0B81" w:rsidRDefault="009E0B81">
                            <w:pPr>
                              <w:spacing w:after="0" w:line="240" w:lineRule="auto"/>
                              <w:textDirection w:val="btLr"/>
                            </w:pPr>
                          </w:p>
                        </w:txbxContent>
                      </v:textbox>
                    </v:rect>
                  </w:pict>
                </mc:Fallback>
              </mc:AlternateContent>
            </w:r>
            <w:r>
              <w:rPr>
                <w:rFonts w:ascii="Arial" w:eastAsia="Arial" w:hAnsi="Arial" w:cs="Arial"/>
                <w:color w:val="000000"/>
                <w:sz w:val="22"/>
                <w:szCs w:val="22"/>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9E0B81" w:rsidRDefault="009E0B8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9E0B81" w:rsidRDefault="009E0B8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9E0B81" w:rsidRDefault="009E0B81">
                            <w:pPr>
                              <w:spacing w:after="0" w:line="240" w:lineRule="auto"/>
                              <w:textDirection w:val="btLr"/>
                            </w:pPr>
                          </w:p>
                        </w:txbxContent>
                      </v:textbox>
                    </v:rect>
                  </w:pict>
                </mc:Fallback>
              </mc:AlternateConten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9E0B81" w:rsidRDefault="009E0B8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9E0B81" w:rsidRDefault="009E0B8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9E0B81" w:rsidRDefault="009E0B81">
                            <w:pPr>
                              <w:spacing w:after="0" w:line="240" w:lineRule="auto"/>
                              <w:textDirection w:val="btLr"/>
                            </w:pPr>
                          </w:p>
                        </w:txbxContent>
                      </v:textbox>
                    </v:rect>
                  </w:pict>
                </mc:Fallback>
              </mc:AlternateConten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9E0B81" w:rsidRDefault="009E0B8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9E0B81" w:rsidRDefault="009E0B81">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9E0B81" w:rsidRDefault="009E0B8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9E0B81" w:rsidRDefault="009E0B81">
                            <w:pPr>
                              <w:spacing w:after="0" w:line="240" w:lineRule="auto"/>
                              <w:textDirection w:val="btLr"/>
                            </w:pPr>
                          </w:p>
                        </w:txbxContent>
                      </v:textbox>
                    </v:rect>
                  </w:pict>
                </mc:Fallback>
              </mc:AlternateConten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pPr>
              <w:jc w:val="both"/>
              <w:rPr>
                <w:rFonts w:ascii="Arial" w:eastAsia="Arial" w:hAnsi="Arial" w:cs="Arial"/>
                <w:i/>
              </w:rPr>
            </w:pPr>
          </w:p>
          <w:p>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jc w:val="both"/>
        <w:rPr>
          <w:rFonts w:ascii="Arial" w:eastAsia="Arial" w:hAnsi="Arial" w:cs="Arial"/>
          <w:color w:val="000000"/>
        </w:rPr>
      </w:pPr>
    </w:p>
    <w:p>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rPr>
      </w:pPr>
    </w:p>
    <w:p>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pPr>
        <w:spacing w:after="0"/>
        <w:jc w:val="center"/>
        <w:rPr>
          <w:rFonts w:ascii="Arial" w:eastAsia="Arial" w:hAnsi="Arial" w:cs="Arial"/>
          <w:b/>
        </w:rPr>
      </w:pPr>
      <w:r>
        <w:rPr>
          <w:rFonts w:ascii="Arial" w:eastAsia="Arial" w:hAnsi="Arial" w:cs="Arial"/>
          <w:b/>
        </w:rPr>
        <w:t xml:space="preserve"> “BASES DE LICITACIÓN”</w:t>
      </w:r>
    </w:p>
    <w:p>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INDAJO-018/2023</w:t>
      </w:r>
    </w:p>
    <w:p>
      <w:pPr>
        <w:spacing w:after="0" w:line="240" w:lineRule="auto"/>
        <w:jc w:val="center"/>
        <w:rPr>
          <w:rFonts w:ascii="Arial" w:eastAsia="Arial" w:hAnsi="Arial" w:cs="Arial"/>
          <w:b/>
          <w:sz w:val="24"/>
          <w:szCs w:val="24"/>
        </w:rPr>
      </w:pPr>
      <w:r>
        <w:rPr>
          <w:rFonts w:ascii="Arial" w:eastAsia="Arial" w:hAnsi="Arial" w:cs="Arial"/>
          <w:b/>
          <w:sz w:val="24"/>
          <w:szCs w:val="24"/>
        </w:rPr>
        <w:t>“MURALIZACIÓN DE ENTRADAS A LA CIUDAD E INTERVENCIONES ARTÍSTICAS EN EL MUNICIPIO DE TLAJOMULCO DE ZÚÑIGA, JALISCO”</w:t>
      </w:r>
    </w:p>
    <w:p>
      <w:pPr>
        <w:pBdr>
          <w:top w:val="nil"/>
          <w:left w:val="nil"/>
          <w:bottom w:val="nil"/>
          <w:right w:val="nil"/>
          <w:between w:val="nil"/>
        </w:pBdr>
        <w:spacing w:after="0" w:line="240" w:lineRule="auto"/>
        <w:rPr>
          <w:rFonts w:ascii="Arial" w:eastAsia="Arial" w:hAnsi="Arial" w:cs="Arial"/>
          <w:b/>
          <w:smallCaps/>
          <w:color w:val="000000"/>
        </w:rPr>
      </w:pPr>
    </w:p>
    <w:p>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pPr>
        <w:pBdr>
          <w:top w:val="nil"/>
          <w:left w:val="nil"/>
          <w:bottom w:val="nil"/>
          <w:right w:val="nil"/>
          <w:between w:val="nil"/>
        </w:pBdr>
        <w:spacing w:after="0" w:line="240" w:lineRule="auto"/>
        <w:jc w:val="both"/>
        <w:rPr>
          <w:rFonts w:ascii="Arial" w:eastAsia="Arial" w:hAnsi="Arial" w:cs="Arial"/>
          <w:color w:val="00000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pPr>
        <w:pBdr>
          <w:top w:val="nil"/>
          <w:left w:val="nil"/>
          <w:bottom w:val="nil"/>
          <w:right w:val="nil"/>
          <w:between w:val="nil"/>
        </w:pBdr>
        <w:spacing w:after="0"/>
        <w:ind w:left="360"/>
        <w:jc w:val="both"/>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pPr>
        <w:pBdr>
          <w:top w:val="nil"/>
          <w:left w:val="nil"/>
          <w:bottom w:val="nil"/>
          <w:right w:val="nil"/>
          <w:between w:val="nil"/>
        </w:pBdr>
        <w:spacing w:after="0" w:line="240" w:lineRule="auto"/>
        <w:ind w:left="708"/>
        <w:rPr>
          <w:rFonts w:ascii="Arial" w:eastAsia="Arial" w:hAnsi="Arial" w:cs="Arial"/>
          <w:color w:val="000000"/>
          <w:sz w:val="20"/>
          <w:szCs w:val="20"/>
        </w:rPr>
      </w:pPr>
    </w:p>
    <w:p>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pPr>
        <w:spacing w:after="0"/>
        <w:rPr>
          <w:rFonts w:ascii="Arial" w:eastAsia="Arial" w:hAnsi="Arial" w:cs="Arial"/>
          <w:sz w:val="20"/>
          <w:szCs w:val="20"/>
        </w:rPr>
      </w:pPr>
      <w:r>
        <w:rPr>
          <w:rFonts w:ascii="Arial" w:eastAsia="Arial" w:hAnsi="Arial" w:cs="Arial"/>
          <w:sz w:val="20"/>
          <w:szCs w:val="20"/>
        </w:rPr>
        <w:t>y/o su Representante Legal</w:t>
      </w:r>
    </w:p>
    <w:p>
      <w:pPr>
        <w:pBdr>
          <w:top w:val="nil"/>
          <w:left w:val="nil"/>
          <w:bottom w:val="nil"/>
          <w:right w:val="nil"/>
          <w:between w:val="nil"/>
        </w:pBdr>
        <w:spacing w:after="0" w:line="240" w:lineRule="auto"/>
        <w:jc w:val="center"/>
        <w:rPr>
          <w:rFonts w:ascii="Arial" w:eastAsia="Arial" w:hAnsi="Arial" w:cs="Arial"/>
          <w:b/>
          <w:color w:val="000000"/>
        </w:rPr>
      </w:pPr>
    </w:p>
    <w:p>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pPr>
        <w:spacing w:after="0"/>
        <w:jc w:val="center"/>
        <w:rPr>
          <w:rFonts w:ascii="Arial" w:eastAsia="Arial" w:hAnsi="Arial" w:cs="Arial"/>
          <w:b/>
        </w:rPr>
      </w:pPr>
      <w:r>
        <w:rPr>
          <w:rFonts w:ascii="Arial" w:eastAsia="Arial" w:hAnsi="Arial" w:cs="Arial"/>
          <w:b/>
        </w:rPr>
        <w:t xml:space="preserve"> “BASES DE LICITACIÓN”</w:t>
      </w:r>
    </w:p>
    <w:p>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INDAJO-018/2023</w:t>
      </w:r>
    </w:p>
    <w:p>
      <w:pPr>
        <w:spacing w:after="0" w:line="240" w:lineRule="auto"/>
        <w:jc w:val="center"/>
        <w:rPr>
          <w:rFonts w:ascii="Arial" w:eastAsia="Arial" w:hAnsi="Arial" w:cs="Arial"/>
          <w:b/>
          <w:sz w:val="24"/>
          <w:szCs w:val="24"/>
        </w:rPr>
      </w:pPr>
      <w:r>
        <w:rPr>
          <w:rFonts w:ascii="Arial" w:eastAsia="Arial" w:hAnsi="Arial" w:cs="Arial"/>
          <w:b/>
          <w:sz w:val="24"/>
          <w:szCs w:val="24"/>
        </w:rPr>
        <w:t>“MURALIZACIÓN DE ENTRADAS A LA CIUDAD E INTERVENCIONES ARTÍSTICAS EN EL MUNICIPIO DE TLAJOMULCO DE ZÚÑIGA, JALISCO”</w:t>
      </w:r>
    </w:p>
    <w:p>
      <w:pPr>
        <w:spacing w:after="0" w:line="240" w:lineRule="auto"/>
        <w:jc w:val="center"/>
        <w:rPr>
          <w:rFonts w:ascii="Arial" w:eastAsia="Arial" w:hAnsi="Arial" w:cs="Arial"/>
          <w:b/>
        </w:rPr>
      </w:pPr>
    </w:p>
    <w:p>
      <w:pPr>
        <w:spacing w:after="0"/>
        <w:rPr>
          <w:rFonts w:ascii="Arial" w:eastAsia="Arial" w:hAnsi="Arial" w:cs="Arial"/>
          <w:b/>
          <w:sz w:val="20"/>
          <w:szCs w:val="20"/>
        </w:rPr>
      </w:pPr>
    </w:p>
    <w:p>
      <w:pPr>
        <w:spacing w:after="0"/>
        <w:rPr>
          <w:rFonts w:ascii="Arial" w:eastAsia="Arial" w:hAnsi="Arial" w:cs="Arial"/>
          <w:sz w:val="20"/>
          <w:szCs w:val="20"/>
        </w:rPr>
      </w:pPr>
    </w:p>
    <w:p>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pPr>
        <w:spacing w:after="0"/>
        <w:rPr>
          <w:rFonts w:ascii="Arial" w:eastAsia="Arial" w:hAnsi="Arial" w:cs="Arial"/>
          <w:b/>
          <w:sz w:val="20"/>
          <w:szCs w:val="20"/>
        </w:rPr>
      </w:pPr>
      <w:r>
        <w:rPr>
          <w:rFonts w:ascii="Arial" w:eastAsia="Arial" w:hAnsi="Arial" w:cs="Arial"/>
          <w:b/>
          <w:sz w:val="20"/>
          <w:szCs w:val="20"/>
        </w:rPr>
        <w:t>MUNICIPIO DE TLAJOMULCO DE ZÚÑIGA, JALISCO.</w:t>
      </w:r>
    </w:p>
    <w:p>
      <w:pPr>
        <w:spacing w:after="0"/>
        <w:rPr>
          <w:rFonts w:ascii="Arial" w:eastAsia="Arial" w:hAnsi="Arial" w:cs="Arial"/>
          <w:b/>
          <w:sz w:val="20"/>
          <w:szCs w:val="20"/>
        </w:rPr>
      </w:pPr>
      <w:r>
        <w:rPr>
          <w:rFonts w:ascii="Arial" w:eastAsia="Arial" w:hAnsi="Arial" w:cs="Arial"/>
          <w:b/>
          <w:sz w:val="20"/>
          <w:szCs w:val="20"/>
        </w:rPr>
        <w:t>P R E S E N T E</w:t>
      </w:r>
    </w:p>
    <w:p>
      <w:pPr>
        <w:spacing w:after="0"/>
        <w:rPr>
          <w:rFonts w:ascii="Arial" w:eastAsia="Arial" w:hAnsi="Arial" w:cs="Arial"/>
        </w:rPr>
      </w:pPr>
    </w:p>
    <w:p>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pPr>
        <w:spacing w:after="0"/>
        <w:jc w:val="both"/>
        <w:rPr>
          <w:rFonts w:ascii="Arial" w:eastAsia="Arial" w:hAnsi="Arial" w:cs="Arial"/>
        </w:rPr>
      </w:pP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pPr>
        <w:spacing w:after="0"/>
        <w:jc w:val="both"/>
        <w:rPr>
          <w:rFonts w:ascii="Arial" w:eastAsia="Arial" w:hAnsi="Arial" w:cs="Arial"/>
        </w:rPr>
      </w:pP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pPr>
        <w:spacing w:after="0"/>
        <w:jc w:val="both"/>
        <w:rPr>
          <w:rFonts w:ascii="Arial" w:eastAsia="Arial" w:hAnsi="Arial" w:cs="Arial"/>
        </w:rPr>
      </w:pPr>
    </w:p>
    <w:p>
      <w:pPr>
        <w:spacing w:after="0"/>
        <w:jc w:val="both"/>
        <w:rPr>
          <w:rFonts w:ascii="Arial" w:eastAsia="Arial" w:hAnsi="Arial" w:cs="Arial"/>
        </w:rPr>
      </w:pPr>
      <w:r>
        <w:rPr>
          <w:rFonts w:ascii="Arial" w:eastAsia="Arial" w:hAnsi="Arial" w:cs="Arial"/>
        </w:rPr>
        <w:t>ATENTAMENTE</w:t>
      </w:r>
    </w:p>
    <w:p>
      <w:pPr>
        <w:spacing w:after="0"/>
        <w:jc w:val="both"/>
        <w:rPr>
          <w:rFonts w:ascii="Arial" w:eastAsia="Arial" w:hAnsi="Arial" w:cs="Arial"/>
        </w:rPr>
      </w:pPr>
    </w:p>
    <w:p>
      <w:pPr>
        <w:spacing w:after="0"/>
        <w:rPr>
          <w:rFonts w:ascii="Arial" w:eastAsia="Arial" w:hAnsi="Arial" w:cs="Arial"/>
        </w:rPr>
      </w:pPr>
    </w:p>
    <w:p>
      <w:pPr>
        <w:spacing w:after="0"/>
        <w:rPr>
          <w:rFonts w:ascii="Arial" w:eastAsia="Arial" w:hAnsi="Arial" w:cs="Arial"/>
        </w:rPr>
      </w:pPr>
      <w:r>
        <w:rPr>
          <w:rFonts w:ascii="Arial" w:eastAsia="Arial" w:hAnsi="Arial" w:cs="Arial"/>
        </w:rPr>
        <w:t>_________________________</w:t>
      </w:r>
    </w:p>
    <w:p>
      <w:pPr>
        <w:spacing w:after="0"/>
        <w:rPr>
          <w:rFonts w:ascii="Arial" w:eastAsia="Arial" w:hAnsi="Arial" w:cs="Arial"/>
        </w:rPr>
      </w:pPr>
      <w:r>
        <w:rPr>
          <w:rFonts w:ascii="Arial" w:eastAsia="Arial" w:hAnsi="Arial" w:cs="Arial"/>
        </w:rPr>
        <w:t>Nombre y firma del Licitante</w:t>
      </w:r>
    </w:p>
    <w:p>
      <w:pPr>
        <w:spacing w:after="0"/>
        <w:rPr>
          <w:rFonts w:ascii="Arial" w:eastAsia="Arial" w:hAnsi="Arial" w:cs="Arial"/>
        </w:rPr>
      </w:pPr>
      <w:r>
        <w:rPr>
          <w:rFonts w:ascii="Arial" w:eastAsia="Arial" w:hAnsi="Arial" w:cs="Arial"/>
        </w:rPr>
        <w:t xml:space="preserve">o Representante Legal </w:t>
      </w:r>
    </w:p>
    <w:p>
      <w:pPr>
        <w:spacing w:after="0"/>
        <w:rPr>
          <w:rFonts w:ascii="Arial" w:eastAsia="Arial" w:hAnsi="Arial" w:cs="Arial"/>
        </w:rPr>
      </w:pPr>
    </w:p>
    <w:p>
      <w:pPr>
        <w:spacing w:after="0"/>
        <w:rPr>
          <w:rFonts w:ascii="Arial" w:eastAsia="Arial" w:hAnsi="Arial" w:cs="Arial"/>
        </w:rPr>
      </w:pPr>
    </w:p>
    <w:sectPr>
      <w:headerReference w:type="default" r:id="rId10"/>
      <w:footerReference w:type="default" r:id="rId11"/>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margin">
            <wp:posOffset>-780415</wp:posOffset>
          </wp:positionH>
          <wp:positionV relativeFrom="margin">
            <wp:posOffset>-1186180</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9868</Words>
  <Characters>54277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2</cp:revision>
  <cp:lastPrinted>2023-11-21T21:59:00Z</cp:lastPrinted>
  <dcterms:created xsi:type="dcterms:W3CDTF">2023-11-27T18:07:00Z</dcterms:created>
  <dcterms:modified xsi:type="dcterms:W3CDTF">2023-11-27T18:07:00Z</dcterms:modified>
</cp:coreProperties>
</file>