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A2" w:rsidRPr="00972BAB" w:rsidRDefault="007246A2" w:rsidP="00E11391">
      <w:pPr>
        <w:spacing w:after="0" w:line="240" w:lineRule="auto"/>
        <w:jc w:val="both"/>
        <w:rPr>
          <w:u w:val="single"/>
        </w:rPr>
      </w:pPr>
    </w:p>
    <w:p w:rsidR="00873206" w:rsidRDefault="00873206"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7246A2" w:rsidRDefault="007246A2"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972BAB" w:rsidP="00483DD2">
      <w:pPr>
        <w:tabs>
          <w:tab w:val="center" w:pos="4419"/>
          <w:tab w:val="left" w:pos="6315"/>
        </w:tabs>
        <w:spacing w:after="0" w:line="240" w:lineRule="auto"/>
        <w:rPr>
          <w:rFonts w:ascii="Arial" w:hAnsi="Arial" w:cs="Arial"/>
          <w:b/>
        </w:rPr>
      </w:pPr>
      <w:r>
        <w:rPr>
          <w:rFonts w:ascii="Arial" w:hAnsi="Arial" w:cs="Arial"/>
          <w:b/>
        </w:rPr>
        <w:tab/>
      </w:r>
      <w:r w:rsidR="00044EE2">
        <w:rPr>
          <w:rFonts w:ascii="Arial" w:hAnsi="Arial" w:cs="Arial"/>
          <w:b/>
        </w:rPr>
        <w:t>Convocatoria OPD/IMMT/006</w:t>
      </w:r>
    </w:p>
    <w:p w:rsidR="008C0DC5" w:rsidRDefault="00F73072" w:rsidP="008C0DC5">
      <w:pPr>
        <w:tabs>
          <w:tab w:val="center" w:pos="4419"/>
          <w:tab w:val="left" w:pos="6315"/>
        </w:tabs>
        <w:spacing w:after="0" w:line="240" w:lineRule="auto"/>
        <w:jc w:val="center"/>
        <w:rPr>
          <w:rFonts w:ascii="Arial" w:hAnsi="Arial" w:cs="Arial"/>
          <w:b/>
        </w:rPr>
      </w:pPr>
      <w:r>
        <w:rPr>
          <w:rFonts w:ascii="Arial" w:hAnsi="Arial" w:cs="Arial"/>
          <w:b/>
        </w:rPr>
        <w:t>Mantenimiento de Vehículo</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76764A" w:rsidP="001E6670">
            <w:pPr>
              <w:spacing w:after="0" w:line="240" w:lineRule="auto"/>
              <w:jc w:val="both"/>
              <w:rPr>
                <w:rFonts w:ascii="Arial" w:hAnsi="Arial" w:cs="Arial"/>
                <w:color w:val="000000"/>
                <w:sz w:val="20"/>
                <w:szCs w:val="20"/>
              </w:rPr>
            </w:pPr>
            <w:r>
              <w:rPr>
                <w:rFonts w:ascii="Arial" w:hAnsi="Arial" w:cs="Arial"/>
                <w:color w:val="000000"/>
                <w:sz w:val="20"/>
                <w:szCs w:val="20"/>
              </w:rPr>
              <w:t>17</w:t>
            </w:r>
            <w:bookmarkStart w:id="0" w:name="_GoBack"/>
            <w:bookmarkEnd w:id="0"/>
            <w:r w:rsidR="0016196A">
              <w:rPr>
                <w:rFonts w:ascii="Arial" w:hAnsi="Arial" w:cs="Arial"/>
                <w:color w:val="000000"/>
                <w:sz w:val="20"/>
                <w:szCs w:val="20"/>
              </w:rPr>
              <w:t xml:space="preserve"> de Junio</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w:t>
            </w:r>
            <w:r w:rsidR="00467F1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A5287C"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044EE2">
              <w:rPr>
                <w:rFonts w:ascii="Arial" w:hAnsi="Arial" w:cs="Arial"/>
                <w:color w:val="000000"/>
                <w:sz w:val="20"/>
                <w:szCs w:val="20"/>
              </w:rPr>
              <w:t xml:space="preserve"> de Junio</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A5287C" w:rsidP="001E6670">
            <w:pPr>
              <w:spacing w:after="0" w:line="240" w:lineRule="auto"/>
              <w:rPr>
                <w:rFonts w:ascii="Arial" w:hAnsi="Arial" w:cs="Arial"/>
                <w:sz w:val="20"/>
                <w:szCs w:val="20"/>
              </w:rPr>
            </w:pPr>
            <w:r>
              <w:rPr>
                <w:rFonts w:ascii="Arial" w:hAnsi="Arial" w:cs="Arial"/>
                <w:color w:val="000000"/>
                <w:sz w:val="20"/>
                <w:szCs w:val="20"/>
              </w:rPr>
              <w:t>25</w:t>
            </w:r>
            <w:r w:rsidR="00044EE2">
              <w:rPr>
                <w:rFonts w:ascii="Arial" w:hAnsi="Arial" w:cs="Arial"/>
                <w:color w:val="000000"/>
                <w:sz w:val="20"/>
                <w:szCs w:val="20"/>
              </w:rPr>
              <w:t xml:space="preserve"> de Junio</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firstRow="1" w:lastRow="0" w:firstColumn="1" w:lastColumn="0" w:noHBand="0" w:noVBand="1"/>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935539"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MANTENIMIENTO DE </w:t>
            </w:r>
          </w:p>
          <w:p w:rsidR="00691B37" w:rsidRP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MITSUBISHI L200 PICK-UP DOB CAB</w:t>
            </w:r>
            <w:r w:rsidR="00691B37" w:rsidRPr="00691B37">
              <w:rPr>
                <w:rFonts w:ascii="Calibri" w:eastAsia="Times New Roman" w:hAnsi="Calibri" w:cs="Times New Roman"/>
                <w:b/>
                <w:color w:val="000000"/>
              </w:rPr>
              <w:t>:</w:t>
            </w:r>
          </w:p>
          <w:p w:rsid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-SERVICIO DE FRENOS</w:t>
            </w:r>
          </w:p>
          <w:p w:rsidR="00467F1B" w:rsidRDefault="00691B37"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6A311C">
              <w:rPr>
                <w:rFonts w:ascii="Calibri" w:eastAsia="Times New Roman" w:hAnsi="Calibri" w:cs="Times New Roman"/>
                <w:b/>
                <w:color w:val="000000"/>
              </w:rPr>
              <w:t>AFINACION</w:t>
            </w:r>
          </w:p>
          <w:p w:rsidR="00691B37" w:rsidRPr="00691B37" w:rsidRDefault="00467F1B"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-RECARGA DE GAS DEL AIRE ACONDICIONADO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467F1B"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rsidR="007246A2" w:rsidRDefault="007246A2" w:rsidP="00483DD2">
      <w:pPr>
        <w:spacing w:after="0" w:line="240" w:lineRule="auto"/>
        <w:rPr>
          <w:b/>
          <w:sz w:val="20"/>
        </w:rPr>
      </w:pPr>
    </w:p>
    <w:p w:rsidR="00467F1B" w:rsidRDefault="00467F1B" w:rsidP="00483DD2">
      <w:pPr>
        <w:spacing w:after="0" w:line="240" w:lineRule="auto"/>
        <w:rPr>
          <w:b/>
          <w:sz w:val="20"/>
        </w:rPr>
      </w:pPr>
    </w:p>
    <w:p w:rsidR="007246A2" w:rsidRDefault="007246A2"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sidR="006A311C">
        <w:rPr>
          <w:b/>
          <w:sz w:val="20"/>
        </w:rPr>
        <w:t xml:space="preserve"> por lo que resta del año y  </w:t>
      </w:r>
      <w:r>
        <w:rPr>
          <w:b/>
          <w:sz w:val="20"/>
        </w:rPr>
        <w:t xml:space="preserve">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16196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44EE2"/>
    <w:rsid w:val="00064CA0"/>
    <w:rsid w:val="000C0ED6"/>
    <w:rsid w:val="0010229A"/>
    <w:rsid w:val="00116EFA"/>
    <w:rsid w:val="0015642A"/>
    <w:rsid w:val="0016196A"/>
    <w:rsid w:val="001C17BB"/>
    <w:rsid w:val="001E63F5"/>
    <w:rsid w:val="00232092"/>
    <w:rsid w:val="002351CD"/>
    <w:rsid w:val="002534D9"/>
    <w:rsid w:val="003620AC"/>
    <w:rsid w:val="003A0391"/>
    <w:rsid w:val="003C1081"/>
    <w:rsid w:val="00467F1B"/>
    <w:rsid w:val="00477000"/>
    <w:rsid w:val="00483DD2"/>
    <w:rsid w:val="004D4A4E"/>
    <w:rsid w:val="00561637"/>
    <w:rsid w:val="005778B9"/>
    <w:rsid w:val="005D4F0D"/>
    <w:rsid w:val="00657430"/>
    <w:rsid w:val="00665C6F"/>
    <w:rsid w:val="006724A4"/>
    <w:rsid w:val="00691B37"/>
    <w:rsid w:val="006A311C"/>
    <w:rsid w:val="006B2235"/>
    <w:rsid w:val="006D685C"/>
    <w:rsid w:val="00710094"/>
    <w:rsid w:val="0071478D"/>
    <w:rsid w:val="007246A2"/>
    <w:rsid w:val="00734C99"/>
    <w:rsid w:val="00763175"/>
    <w:rsid w:val="0076764A"/>
    <w:rsid w:val="007F54A1"/>
    <w:rsid w:val="00873206"/>
    <w:rsid w:val="008C0DC5"/>
    <w:rsid w:val="00935539"/>
    <w:rsid w:val="00972BAB"/>
    <w:rsid w:val="009760DD"/>
    <w:rsid w:val="00976C07"/>
    <w:rsid w:val="009C6BA4"/>
    <w:rsid w:val="009F02E1"/>
    <w:rsid w:val="00A50371"/>
    <w:rsid w:val="00A5287C"/>
    <w:rsid w:val="00A558FD"/>
    <w:rsid w:val="00A8552F"/>
    <w:rsid w:val="00AA6EF5"/>
    <w:rsid w:val="00B43B7B"/>
    <w:rsid w:val="00B92AB5"/>
    <w:rsid w:val="00BB30DE"/>
    <w:rsid w:val="00BE597C"/>
    <w:rsid w:val="00C41984"/>
    <w:rsid w:val="00CC0187"/>
    <w:rsid w:val="00CC5A73"/>
    <w:rsid w:val="00D12266"/>
    <w:rsid w:val="00E11391"/>
    <w:rsid w:val="00F24E30"/>
    <w:rsid w:val="00F64EEE"/>
    <w:rsid w:val="00F73072"/>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6</cp:revision>
  <cp:lastPrinted>2021-05-28T17:10:00Z</cp:lastPrinted>
  <dcterms:created xsi:type="dcterms:W3CDTF">2021-05-28T16:58:00Z</dcterms:created>
  <dcterms:modified xsi:type="dcterms:W3CDTF">2021-06-17T18:43:00Z</dcterms:modified>
</cp:coreProperties>
</file>